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55" w:rsidRPr="00046F26" w:rsidRDefault="00282855" w:rsidP="007E752D">
      <w:pPr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  <w:proofErr w:type="spellStart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Workshop</w:t>
      </w:r>
      <w:proofErr w:type="spellEnd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: ¿</w:t>
      </w:r>
      <w:proofErr w:type="spellStart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Althusser</w:t>
      </w:r>
      <w:proofErr w:type="spellEnd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más allá del marxismo? Marx en los escritos póstumos de </w:t>
      </w:r>
      <w:proofErr w:type="spellStart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Althusser</w:t>
      </w:r>
      <w:proofErr w:type="spellEnd"/>
    </w:p>
    <w:p w:rsidR="00282855" w:rsidRPr="00046F26" w:rsidRDefault="00282855" w:rsidP="00046F26">
      <w:pPr>
        <w:ind w:firstLine="709"/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</w:p>
    <w:p w:rsidR="00282855" w:rsidRDefault="00E8679B" w:rsidP="003C7F7D">
      <w:pPr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  <w:bookmarkStart w:id="0" w:name="_GoBack"/>
      <w:bookmarkEnd w:id="0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21</w:t>
      </w:r>
      <w:r w:rsidR="003C7F7D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y 22 </w:t>
      </w:r>
      <w:r w:rsidR="0028285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de agosto</w:t>
      </w:r>
    </w:p>
    <w:p w:rsidR="003C7F7D" w:rsidRDefault="003C7F7D" w:rsidP="00046F26">
      <w:pPr>
        <w:ind w:firstLine="709"/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</w:p>
    <w:p w:rsidR="003C7F7D" w:rsidRPr="003C7F7D" w:rsidRDefault="003C7F7D" w:rsidP="003C7F7D">
      <w:pPr>
        <w:spacing w:before="100" w:beforeAutospacing="1" w:after="100" w:afterAutospacing="1"/>
        <w:rPr>
          <w:rFonts w:ascii="Times New Roman" w:hAnsi="Times New Roman" w:cs="Times New Roman"/>
          <w:b/>
          <w:bCs/>
          <w:lang w:eastAsia="es-ES_tradnl"/>
        </w:rPr>
      </w:pPr>
      <w:r w:rsidRPr="003C7F7D">
        <w:rPr>
          <w:rFonts w:ascii="Arial" w:hAnsi="Arial" w:cs="Arial"/>
          <w:b/>
          <w:bCs/>
          <w:color w:val="000000"/>
          <w:lang w:eastAsia="es-ES_tradnl"/>
        </w:rPr>
        <w:t>Auditorio CCT-CONICET La Plata</w:t>
      </w:r>
    </w:p>
    <w:p w:rsidR="003C7F7D" w:rsidRPr="003C7F7D" w:rsidRDefault="003C7F7D" w:rsidP="003C7F7D">
      <w:pPr>
        <w:rPr>
          <w:rFonts w:ascii="Times New Roman" w:eastAsia="Times New Roman" w:hAnsi="Times New Roman" w:cs="Times New Roman"/>
          <w:lang w:eastAsia="es-ES_tradnl"/>
        </w:rPr>
      </w:pPr>
      <w:r w:rsidRPr="003C7F7D">
        <w:rPr>
          <w:rFonts w:ascii="Arial" w:eastAsia="Times New Roman" w:hAnsi="Arial" w:cs="Arial"/>
          <w:b/>
          <w:bCs/>
          <w:color w:val="000000"/>
          <w:lang w:eastAsia="es-ES_tradnl"/>
        </w:rPr>
        <w:t>8 nº 1467 entre 62 y 63</w:t>
      </w:r>
    </w:p>
    <w:p w:rsidR="003C7F7D" w:rsidRPr="003C7F7D" w:rsidRDefault="003C7F7D" w:rsidP="003C7F7D">
      <w:pPr>
        <w:rPr>
          <w:rFonts w:ascii="Times New Roman" w:eastAsia="Times New Roman" w:hAnsi="Times New Roman" w:cs="Times New Roman"/>
          <w:lang w:eastAsia="es-ES_tradnl"/>
        </w:rPr>
      </w:pPr>
    </w:p>
    <w:p w:rsidR="003C7F7D" w:rsidRPr="00046F26" w:rsidRDefault="003C7F7D" w:rsidP="00046F26">
      <w:pPr>
        <w:ind w:firstLine="709"/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</w:p>
    <w:p w:rsidR="00282855" w:rsidRPr="00046F26" w:rsidRDefault="00282855" w:rsidP="00046F26">
      <w:pPr>
        <w:ind w:firstLine="709"/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</w:p>
    <w:p w:rsidR="00741DE0" w:rsidRPr="00046F26" w:rsidRDefault="00282855" w:rsidP="00046F26">
      <w:pPr>
        <w:ind w:firstLine="709"/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Desde la publicación de la autobiografía de </w:t>
      </w:r>
      <w:proofErr w:type="spellStart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Althusser</w:t>
      </w:r>
      <w:proofErr w:type="spellEnd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</w:t>
      </w:r>
      <w:r w:rsidR="00046F26" w:rsidRPr="00046F26">
        <w:rPr>
          <w:rFonts w:ascii="Helvetica" w:eastAsia="Times New Roman" w:hAnsi="Helvetica" w:cs="Times New Roman"/>
          <w:i/>
          <w:color w:val="000000"/>
          <w:sz w:val="22"/>
          <w:szCs w:val="22"/>
          <w:shd w:val="clear" w:color="auto" w:fill="FFFFFF"/>
          <w:lang w:eastAsia="es-ES_tradnl"/>
        </w:rPr>
        <w:t>El p</w:t>
      </w:r>
      <w:r w:rsidRPr="00046F26">
        <w:rPr>
          <w:rFonts w:ascii="Helvetica" w:eastAsia="Times New Roman" w:hAnsi="Helvetica" w:cs="Times New Roman"/>
          <w:i/>
          <w:color w:val="000000"/>
          <w:sz w:val="22"/>
          <w:szCs w:val="22"/>
          <w:shd w:val="clear" w:color="auto" w:fill="FFFFFF"/>
          <w:lang w:eastAsia="es-ES_tradnl"/>
        </w:rPr>
        <w:t>o</w:t>
      </w:r>
      <w:r w:rsidR="00046F26" w:rsidRPr="00046F26">
        <w:rPr>
          <w:rFonts w:ascii="Helvetica" w:eastAsia="Times New Roman" w:hAnsi="Helvetica" w:cs="Times New Roman"/>
          <w:i/>
          <w:color w:val="000000"/>
          <w:sz w:val="22"/>
          <w:szCs w:val="22"/>
          <w:shd w:val="clear" w:color="auto" w:fill="FFFFFF"/>
          <w:lang w:eastAsia="es-ES_tradnl"/>
        </w:rPr>
        <w:t>r</w:t>
      </w:r>
      <w:r w:rsidRPr="00046F26">
        <w:rPr>
          <w:rFonts w:ascii="Helvetica" w:eastAsia="Times New Roman" w:hAnsi="Helvetica" w:cs="Times New Roman"/>
          <w:i/>
          <w:color w:val="000000"/>
          <w:sz w:val="22"/>
          <w:szCs w:val="22"/>
          <w:shd w:val="clear" w:color="auto" w:fill="FFFFFF"/>
          <w:lang w:eastAsia="es-ES_tradnl"/>
        </w:rPr>
        <w:t>venir es largo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en 1992, han venido apareciendo a un ritmo notable casi una veintena de volúmenes de escritos inéditos de </w:t>
      </w:r>
      <w:proofErr w:type="spellStart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Althusser</w:t>
      </w:r>
      <w:proofErr w:type="spellEnd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. En los mismos se dieron a conocer libros concluidos o en un</w:t>
      </w:r>
      <w:r w:rsidR="00912D7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avanzado estado de elaboración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que por motivos diversos su autor no entregó a las imprentas, artículos inéditos o de difícil acceso, </w:t>
      </w:r>
      <w:r w:rsidR="00912D7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algunos de ellos 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publicados origina</w:t>
      </w:r>
      <w:r w:rsidR="00741DE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lmente en lenguas distintas a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l francés, textos de conferencias, clases y cursos, correspondencia</w:t>
      </w:r>
      <w:r w:rsidR="00912D7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de diferente tenor e</w:t>
      </w:r>
      <w:r w:rsidR="00741DE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intervenciones </w:t>
      </w:r>
      <w:r w:rsidR="00912D7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directamente </w:t>
      </w:r>
      <w:r w:rsidR="00741DE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políticas. Esta producción, de un considerable volumen, más de 6000 </w:t>
      </w:r>
      <w:r w:rsidR="00A7208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páginas</w:t>
      </w:r>
      <w:r w:rsidR="00912D7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, cuya</w:t>
      </w:r>
      <w:r w:rsidR="00A7208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s</w:t>
      </w:r>
      <w:r w:rsidR="00741DE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última</w:t>
      </w:r>
      <w:r w:rsidR="00A7208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s</w:t>
      </w:r>
      <w:r w:rsidR="00741DE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entrega</w:t>
      </w:r>
      <w:r w:rsidR="00A7208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s aparecieron</w:t>
      </w:r>
      <w:r w:rsidR="00741DE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a comienzos de este año, y de la</w:t>
      </w:r>
      <w:r w:rsidR="00A7208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s</w:t>
      </w:r>
      <w:r w:rsidR="00741DE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que cabe esperar algunas en</w:t>
      </w:r>
      <w:r w:rsidR="00BD569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tregas en los próximos años, es, a no dudarlo, </w:t>
      </w:r>
      <w:r w:rsidR="00741DE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mayor que la obra publicada e</w:t>
      </w:r>
      <w:r w:rsidR="00CB349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n vida por el filósofo argelino-</w:t>
      </w:r>
      <w:r w:rsidR="00741DE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francés. La misma cubre, al igual que la obra editada, una </w:t>
      </w:r>
      <w:r w:rsidR="00A0558B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destacable </w:t>
      </w:r>
      <w:r w:rsidR="00741DE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variedad de temáticas y</w:t>
      </w:r>
      <w:r w:rsidR="00A0558B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,</w:t>
      </w:r>
      <w:r w:rsidR="00BD569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lo mismo</w:t>
      </w:r>
      <w:r w:rsidR="00741DE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que ésta, ha sido objeto de una singular polémica, que no </w:t>
      </w:r>
      <w:r w:rsidR="00CB349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parece estar</w:t>
      </w:r>
      <w:r w:rsidR="00741DE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cerca de aplacarse. </w:t>
      </w:r>
    </w:p>
    <w:p w:rsidR="00A0558B" w:rsidRPr="00046F26" w:rsidRDefault="00741DE0" w:rsidP="00046F26">
      <w:pPr>
        <w:ind w:firstLine="709"/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E</w:t>
      </w:r>
      <w:r w:rsidR="00A0558B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l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enorme trabajo editorial realizado a varias manos, </w:t>
      </w:r>
      <w:r w:rsidR="00912D7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que ya lleva más de 25 años, 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ha e</w:t>
      </w:r>
      <w:r w:rsidR="00912D7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stado dotado de cierta unidad de propósitos en algunos de sus tramos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, pero</w:t>
      </w:r>
      <w:r w:rsidR="009717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también </w:t>
      </w:r>
      <w:r w:rsidR="00912D7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se </w:t>
      </w:r>
      <w:r w:rsidR="009717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ha </w:t>
      </w:r>
      <w:r w:rsidR="00912D7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visto </w:t>
      </w:r>
      <w:r w:rsidR="009717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expuesto</w:t>
      </w:r>
      <w:r w:rsidR="00912D7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a los avatares de la coyuntura</w:t>
      </w:r>
      <w:r w:rsidR="00A0558B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política y teórica</w:t>
      </w:r>
      <w:r w:rsidR="00912D7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</w:t>
      </w:r>
      <w:r w:rsidR="009717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francesa e internacional. </w:t>
      </w:r>
    </w:p>
    <w:p w:rsidR="00A0558B" w:rsidRPr="00046F26" w:rsidRDefault="00A0558B" w:rsidP="00046F26">
      <w:pPr>
        <w:ind w:firstLine="709"/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Para comenzar, el mismo se ha inscripto enel marco de </w:t>
      </w:r>
      <w:r w:rsidR="009717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ciertos movimientos en las capas tectónicas de 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la reconfiguración ideológica del pensamiento contemporáneo</w:t>
      </w:r>
      <w:r w:rsidR="009717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. 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Pero no sólo </w:t>
      </w:r>
      <w:r w:rsidR="00BD569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eso, </w:t>
      </w:r>
      <w:r w:rsidR="00DA4BFB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ya</w:t>
      </w:r>
      <w:r w:rsidR="00BD569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que no hay que olvidar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que l</w:t>
      </w:r>
      <w:r w:rsidR="00ED4A48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a reconfiguración teórico-ideológica de los años 80s, 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esto es, </w:t>
      </w:r>
      <w:r w:rsidR="00ED4A48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la deriva hacia un pe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nsamiento de matriz </w:t>
      </w:r>
      <w:proofErr w:type="spellStart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juridicista</w:t>
      </w:r>
      <w:proofErr w:type="spellEnd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,</w:t>
      </w:r>
      <w:r w:rsidR="00ED4A48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incluso en el interior del pensamiento marxista, tomó como 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uno de sus </w:t>
      </w:r>
      <w:r w:rsidR="00ED4A48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estandarte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s</w:t>
      </w:r>
      <w:r w:rsidR="00ED4A48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el rechazo virulento de</w:t>
      </w:r>
      <w:r w:rsidR="009717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l pensamiento </w:t>
      </w:r>
      <w:proofErr w:type="spellStart"/>
      <w:r w:rsidR="009717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althusser</w:t>
      </w:r>
      <w:r w:rsidR="00D839F4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i</w:t>
      </w:r>
      <w:r w:rsidR="009717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ano</w:t>
      </w:r>
      <w:proofErr w:type="spellEnd"/>
      <w:r w:rsidR="00ED4A48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haciendo un anatema de</w:t>
      </w:r>
      <w:r w:rsidR="009717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cualquier vinculación con el “</w:t>
      </w:r>
      <w:proofErr w:type="spellStart"/>
      <w:r w:rsidR="009717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antihumanismo</w:t>
      </w:r>
      <w:proofErr w:type="spellEnd"/>
      <w:r w:rsidR="009717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</w:t>
      </w:r>
      <w:proofErr w:type="spellStart"/>
      <w:r w:rsidR="009717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teórico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”al</w:t>
      </w:r>
      <w:proofErr w:type="spellEnd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</w:t>
      </w:r>
      <w:r w:rsidR="00ED4A48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considera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rlo como</w:t>
      </w:r>
      <w:r w:rsidR="00ED4A48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sinónimo de dogmatismo y totalitarismo. </w:t>
      </w:r>
    </w:p>
    <w:p w:rsidR="00DE11C2" w:rsidRPr="00046F26" w:rsidRDefault="00ED4A48" w:rsidP="00046F26">
      <w:pPr>
        <w:ind w:firstLine="709"/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En ese contexto, </w:t>
      </w:r>
      <w:r w:rsidR="009717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los primeros textos </w:t>
      </w:r>
      <w:r w:rsidR="00A0558B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póstumosaparecidos </w:t>
      </w:r>
      <w:r w:rsidR="009717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oponían 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cuando menos la resistencia </w:t>
      </w:r>
      <w:r w:rsidR="009717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una singularidad que no encajaba 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con la facilidad esperada </w:t>
      </w:r>
      <w:r w:rsidR="009717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en el molde de un estructuralismo 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caricaturizado </w:t>
      </w:r>
      <w:r w:rsidR="009717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que se consideraba refutado por anticipado</w:t>
      </w:r>
      <w:r w:rsidR="0094326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. La singularidad de estos textos se cristalizó en una lectura en términos del “materialismo aleatorio o del encuentro”, un rótulo bajo el cual se incluyeron posiciones diversas, pero que en sus diversas versiones parecía</w:t>
      </w:r>
      <w:r w:rsidR="00A0558B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n</w:t>
      </w:r>
      <w:r w:rsidR="0094326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aceptar el </w:t>
      </w:r>
      <w:proofErr w:type="spellStart"/>
      <w:r w:rsidR="00943265" w:rsidRPr="00046F26">
        <w:rPr>
          <w:rFonts w:ascii="Helvetica" w:eastAsia="Times New Roman" w:hAnsi="Helvetica" w:cs="Times New Roman"/>
          <w:i/>
          <w:color w:val="000000"/>
          <w:sz w:val="22"/>
          <w:szCs w:val="22"/>
          <w:shd w:val="clear" w:color="auto" w:fill="FFFFFF"/>
          <w:lang w:eastAsia="es-ES_tradnl"/>
        </w:rPr>
        <w:t>dictum</w:t>
      </w:r>
      <w:proofErr w:type="spellEnd"/>
      <w:r w:rsidR="0094326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de Toni </w:t>
      </w:r>
      <w:proofErr w:type="spellStart"/>
      <w:r w:rsidR="0094326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Negri</w:t>
      </w:r>
      <w:proofErr w:type="spellEnd"/>
      <w:r w:rsidR="004E0463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(1993)</w:t>
      </w:r>
      <w:r w:rsidR="0094326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según el cual los mismos representaban un viraje, un giro, una </w:t>
      </w:r>
      <w:proofErr w:type="spellStart"/>
      <w:r w:rsidR="00943265" w:rsidRPr="00046F26">
        <w:rPr>
          <w:rFonts w:ascii="Helvetica" w:eastAsia="Times New Roman" w:hAnsi="Helvetica" w:cs="Times New Roman"/>
          <w:i/>
          <w:color w:val="000000"/>
          <w:sz w:val="22"/>
          <w:szCs w:val="22"/>
          <w:shd w:val="clear" w:color="auto" w:fill="FFFFFF"/>
          <w:lang w:eastAsia="es-ES_tradnl"/>
        </w:rPr>
        <w:t>K</w:t>
      </w:r>
      <w:r w:rsidR="004E0463" w:rsidRPr="00046F26">
        <w:rPr>
          <w:rFonts w:ascii="Helvetica" w:eastAsia="Times New Roman" w:hAnsi="Helvetica" w:cs="Times New Roman"/>
          <w:i/>
          <w:color w:val="000000"/>
          <w:sz w:val="22"/>
          <w:szCs w:val="22"/>
          <w:shd w:val="clear" w:color="auto" w:fill="FFFFFF"/>
          <w:lang w:eastAsia="es-ES_tradnl"/>
        </w:rPr>
        <w:t>eh</w:t>
      </w:r>
      <w:r w:rsidR="00943265" w:rsidRPr="00046F26">
        <w:rPr>
          <w:rFonts w:ascii="Helvetica" w:eastAsia="Times New Roman" w:hAnsi="Helvetica" w:cs="Times New Roman"/>
          <w:i/>
          <w:color w:val="000000"/>
          <w:sz w:val="22"/>
          <w:szCs w:val="22"/>
          <w:shd w:val="clear" w:color="auto" w:fill="FFFFFF"/>
          <w:lang w:eastAsia="es-ES_tradnl"/>
        </w:rPr>
        <w:t>re</w:t>
      </w:r>
      <w:r w:rsidR="00A0558B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en</w:t>
      </w:r>
      <w:proofErr w:type="spellEnd"/>
      <w:r w:rsidR="00A0558B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el pensamiento </w:t>
      </w:r>
      <w:proofErr w:type="spellStart"/>
      <w:r w:rsidR="00A0558B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althusseriano</w:t>
      </w:r>
      <w:proofErr w:type="spellEnd"/>
      <w:r w:rsidR="00A0558B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. De acuerdo a esta lectura, el maestro de la </w:t>
      </w:r>
      <w:proofErr w:type="spellStart"/>
      <w:r w:rsidR="00A0558B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rue</w:t>
      </w:r>
      <w:proofErr w:type="spellEnd"/>
      <w:r w:rsidR="00A0558B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</w:t>
      </w:r>
      <w:proofErr w:type="spellStart"/>
      <w:r w:rsidR="00A0558B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d’Ulm</w:t>
      </w:r>
      <w:proofErr w:type="spellEnd"/>
      <w:r w:rsidR="0094326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habría dejado atrás sus compromisos marxistas para aventurarse a navegar hacia nuevas aguas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teóricas</w:t>
      </w:r>
      <w:r w:rsidR="0094326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. </w:t>
      </w:r>
    </w:p>
    <w:p w:rsidR="00E74328" w:rsidRPr="00046F26" w:rsidRDefault="00DE11C2" w:rsidP="00046F26">
      <w:pPr>
        <w:ind w:firstLine="709"/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Esto</w:t>
      </w:r>
      <w:r w:rsidR="0094326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s dos 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vectores </w:t>
      </w:r>
      <w:r w:rsidR="0094326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colisionaron a su vez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con otro</w:t>
      </w:r>
      <w:r w:rsidR="0094326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surgido</w:t>
      </w:r>
      <w:r w:rsidR="0094326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como consecuencia de la constitución en 1991 del “Fondo </w:t>
      </w:r>
      <w:proofErr w:type="spellStart"/>
      <w:r w:rsidR="0094326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</w:t>
      </w:r>
      <w:r w:rsidR="00DD4692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er</w:t>
      </w:r>
      <w:proofErr w:type="spellEnd"/>
      <w:r w:rsidR="00DD4692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” en el IMEC (</w:t>
      </w:r>
      <w:proofErr w:type="spellStart"/>
      <w:r w:rsidR="00DD4692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InstitutMemoires</w:t>
      </w:r>
      <w:proofErr w:type="spellEnd"/>
      <w:r w:rsidR="0094326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de </w:t>
      </w:r>
      <w:proofErr w:type="spellStart"/>
      <w:r w:rsidR="0094326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l’ÉditionContempora</w:t>
      </w:r>
      <w:r w:rsidR="0090598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ine</w:t>
      </w:r>
      <w:proofErr w:type="spellEnd"/>
      <w:r w:rsidR="0094326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) en </w:t>
      </w:r>
      <w:r w:rsidR="00DB78A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Caen,</w:t>
      </w:r>
      <w:r w:rsidR="0094326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Francia. En efecto, este fondo puso a disposición 50</w:t>
      </w:r>
      <w:r w:rsidR="00DB78A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.</w:t>
      </w:r>
      <w:r w:rsidR="0094326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000 páginas de</w:t>
      </w:r>
      <w:r w:rsidR="00180C0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inéditos </w:t>
      </w:r>
      <w:proofErr w:type="spellStart"/>
      <w:r w:rsidR="00180C0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de</w:t>
      </w:r>
      <w:r w:rsidR="0094326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Althusser</w:t>
      </w:r>
      <w:proofErr w:type="spellEnd"/>
      <w:r w:rsidR="0094326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(de las que se extrajeron la veintena de volúmenes a los que aludimos al comienzo), que fueron pronto catalogadas por François </w:t>
      </w:r>
      <w:proofErr w:type="spellStart"/>
      <w:r w:rsidR="0094326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Matheron</w:t>
      </w:r>
      <w:proofErr w:type="spellEnd"/>
      <w:r w:rsidR="0094326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y </w:t>
      </w:r>
      <w:proofErr w:type="spellStart"/>
      <w:r w:rsidR="0094326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SandrineSamson</w:t>
      </w:r>
      <w:proofErr w:type="spellEnd"/>
      <w:r w:rsidR="00055D5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y que un conju</w:t>
      </w:r>
      <w:r w:rsidR="00174FA9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nto de estudiosos se apresuró</w:t>
      </w:r>
      <w:r w:rsidR="00055D5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a trabajar, proponiendo en consecuencia interpretaciones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e interrogantes </w:t>
      </w:r>
      <w:r w:rsidR="00DB78A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que </w:t>
      </w:r>
      <w:r w:rsidR="00DB78A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lastRenderedPageBreak/>
        <w:t>comenzaron a circular con efectos diversos</w:t>
      </w:r>
      <w:r w:rsidR="00174FA9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. Testimonio</w:t>
      </w:r>
      <w:r w:rsidR="001A041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s</w:t>
      </w:r>
      <w:r w:rsidR="00174FA9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de ello son la publicación de una segunda edició</w:t>
      </w:r>
      <w:r w:rsidR="00C52CC8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n </w:t>
      </w:r>
      <w:r w:rsidR="00174FA9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revisada</w:t>
      </w:r>
      <w:r w:rsidR="00C52CC8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en </w:t>
      </w:r>
      <w:r w:rsidR="00731909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2006</w:t>
      </w:r>
      <w:r w:rsidR="00174FA9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, del estudio de con</w:t>
      </w:r>
      <w:r w:rsidR="00FB42D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junto de la trayectoria teórico-</w:t>
      </w:r>
      <w:r w:rsidR="00174FA9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política </w:t>
      </w:r>
      <w:proofErr w:type="spellStart"/>
      <w:r w:rsidR="00174FA9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althusseriana</w:t>
      </w:r>
      <w:proofErr w:type="spellEnd"/>
      <w:r w:rsidR="00174FA9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por Gregory </w:t>
      </w:r>
      <w:proofErr w:type="spellStart"/>
      <w:r w:rsidR="00174FA9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Elliot</w:t>
      </w:r>
      <w:proofErr w:type="spellEnd"/>
      <w:r w:rsidR="00174FA9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</w:t>
      </w:r>
      <w:r w:rsidR="00FB42D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el extraordinario análisis de la intervención teórica de </w:t>
      </w:r>
      <w:proofErr w:type="spellStart"/>
      <w:r w:rsidR="00FB42D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Althusser</w:t>
      </w:r>
      <w:proofErr w:type="spellEnd"/>
      <w:r w:rsidR="00FB42D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en la coyuntura teórica francesa de los años sesenta realizado por Warren </w:t>
      </w:r>
      <w:proofErr w:type="spellStart"/>
      <w:r w:rsidR="00FB42D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Montag</w:t>
      </w:r>
      <w:proofErr w:type="spellEnd"/>
      <w:r w:rsidR="00FB42D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</w:t>
      </w:r>
      <w:r w:rsidR="00174FA9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y la publicación</w:t>
      </w:r>
      <w:r w:rsidR="00DB78A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,</w:t>
      </w:r>
      <w:r w:rsidR="00FB42D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entre nosotros</w:t>
      </w:r>
      <w:r w:rsidR="00DB78A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,</w:t>
      </w:r>
      <w:r w:rsidR="00174FA9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de </w:t>
      </w:r>
      <w:proofErr w:type="spellStart"/>
      <w:r w:rsidR="00174FA9" w:rsidRPr="00046F26">
        <w:rPr>
          <w:rFonts w:ascii="Helvetica" w:eastAsia="Times New Roman" w:hAnsi="Helvetica" w:cs="Times New Roman"/>
          <w:i/>
          <w:color w:val="000000"/>
          <w:sz w:val="22"/>
          <w:szCs w:val="22"/>
          <w:shd w:val="clear" w:color="auto" w:fill="FFFFFF"/>
          <w:lang w:eastAsia="es-ES_tradnl"/>
        </w:rPr>
        <w:t>Althusser</w:t>
      </w:r>
      <w:proofErr w:type="spellEnd"/>
      <w:r w:rsidR="00174FA9" w:rsidRPr="00046F26">
        <w:rPr>
          <w:rFonts w:ascii="Helvetica" w:eastAsia="Times New Roman" w:hAnsi="Helvetica" w:cs="Times New Roman"/>
          <w:i/>
          <w:color w:val="000000"/>
          <w:sz w:val="22"/>
          <w:szCs w:val="22"/>
          <w:shd w:val="clear" w:color="auto" w:fill="FFFFFF"/>
          <w:lang w:eastAsia="es-ES_tradnl"/>
        </w:rPr>
        <w:t>, el infinito adiós</w:t>
      </w:r>
      <w:r w:rsidR="00174FA9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por Emilio de </w:t>
      </w:r>
      <w:proofErr w:type="spellStart"/>
      <w:r w:rsidR="00174FA9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Ípola</w:t>
      </w:r>
      <w:proofErr w:type="spellEnd"/>
      <w:r w:rsidR="0090598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. </w:t>
      </w:r>
    </w:p>
    <w:p w:rsidR="001A0410" w:rsidRPr="00046F26" w:rsidRDefault="008B2147" w:rsidP="00046F26">
      <w:pPr>
        <w:ind w:firstLine="709"/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Un</w:t>
      </w:r>
      <w:r w:rsidR="00E74328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tercer</w:t>
      </w:r>
      <w:r w:rsidR="00DB78A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momento</w:t>
      </w:r>
      <w:r w:rsidR="00E74328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, es imposible llamarlo corriente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,</w:t>
      </w:r>
      <w:r w:rsidR="00E74328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porque </w:t>
      </w:r>
      <w:r w:rsidR="0090598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no carece de superposiciones con las mencionadas antes, </w:t>
      </w:r>
      <w:r w:rsidR="00E74328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pero sobre todo por</w:t>
      </w:r>
      <w:r w:rsidR="001A041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su falta </w:t>
      </w:r>
      <w:r w:rsidR="00E74328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de unidad, surgió debido al peso de las </w:t>
      </w:r>
      <w:r w:rsidR="00881EE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ediciones póstumas a las que aludimos</w:t>
      </w:r>
      <w:r w:rsidR="00E74328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</w:t>
      </w:r>
      <w:r w:rsidR="000C7A29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ya que las mismas permitieron recon</w:t>
      </w:r>
      <w:r w:rsidR="00F1346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siderar </w:t>
      </w:r>
      <w:r w:rsidR="000C7A29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algunos fragmentos claves </w:t>
      </w:r>
      <w:r w:rsidR="001A041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en</w:t>
      </w:r>
      <w:r w:rsidR="000C7A29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las lecturas mencionadas</w:t>
      </w:r>
      <w:r w:rsidR="00DB78A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antes</w:t>
      </w:r>
      <w:r w:rsidR="000C7A29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, al situar</w:t>
      </w:r>
      <w:r w:rsidR="00F1346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est</w:t>
      </w:r>
      <w:r w:rsidR="000C7A29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os</w:t>
      </w:r>
      <w:r w:rsidR="00F1346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textos de </w:t>
      </w:r>
      <w:proofErr w:type="spellStart"/>
      <w:r w:rsidR="00F1346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Althusser</w:t>
      </w:r>
      <w:proofErr w:type="spellEnd"/>
      <w:r w:rsidR="000C7A29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en </w:t>
      </w:r>
      <w:r w:rsidR="00FB42D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los </w:t>
      </w:r>
      <w:r w:rsidR="000C7A29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contextos más amplios</w:t>
      </w:r>
      <w:r w:rsidR="00FB42D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en los que fueron redactados. Ello permitió plantear un conjunto de cuestiones novedosas, muchas de las cuales giran en torno a la presencia de Marx, y la naturaleza de esta presencia, en los escritos póstumos de </w:t>
      </w:r>
      <w:proofErr w:type="spellStart"/>
      <w:r w:rsidR="00FB42D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Althusser</w:t>
      </w:r>
      <w:proofErr w:type="spellEnd"/>
      <w:r w:rsidR="00FB42D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, lo que equivale, dicho sea esto con claridad, a</w:t>
      </w:r>
      <w:r w:rsidR="00DB78A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plantear e</w:t>
      </w:r>
      <w:r w:rsidR="00FB42D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l problema de la relación de </w:t>
      </w:r>
      <w:proofErr w:type="spellStart"/>
      <w:r w:rsidR="00FB42D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Althusser</w:t>
      </w:r>
      <w:proofErr w:type="spellEnd"/>
      <w:r w:rsidR="00FB42D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con Marx a lo largo de toda su obra. </w:t>
      </w:r>
    </w:p>
    <w:p w:rsidR="00FB42DD" w:rsidRPr="00046F26" w:rsidRDefault="00FB42DD" w:rsidP="00046F26">
      <w:pPr>
        <w:ind w:firstLine="709"/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Este 2018, centenario de</w:t>
      </w:r>
      <w:r w:rsidR="00DB78A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l nacimiento </w:t>
      </w:r>
      <w:proofErr w:type="spellStart"/>
      <w:r w:rsidR="00DB78A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de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Althusser</w:t>
      </w:r>
      <w:proofErr w:type="spellEnd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y bicentenario del </w:t>
      </w:r>
      <w:proofErr w:type="spellStart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del</w:t>
      </w:r>
      <w:proofErr w:type="spellEnd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filósofo de Tréveris, nos </w:t>
      </w:r>
      <w:r w:rsidR="00DB78A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proporciona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gracias a esta densa polémica de fondo sobre el pensamiento de </w:t>
      </w:r>
      <w:proofErr w:type="spellStart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Althusser</w:t>
      </w:r>
      <w:proofErr w:type="spellEnd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y a la inmensa labor editorial a la que nos remitimos, de un conjunto de herramientas invaluables para </w:t>
      </w:r>
      <w:r w:rsidR="004545D2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examinar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la relación entre </w:t>
      </w:r>
      <w:proofErr w:type="spellStart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Althusser</w:t>
      </w:r>
      <w:proofErr w:type="spellEnd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y Marx, lo que implica contornear la figura de ambos desde una perspectiva </w:t>
      </w:r>
      <w:r w:rsidR="00C52CC8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que creemos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inmejorable.</w:t>
      </w:r>
    </w:p>
    <w:p w:rsidR="006A07E0" w:rsidRPr="00046F26" w:rsidRDefault="00BD7026" w:rsidP="00046F26">
      <w:pPr>
        <w:ind w:firstLine="709"/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Querríamos proponer una tesis para discutir en este Coloquio. Retomando una observación de </w:t>
      </w:r>
      <w:proofErr w:type="spellStart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G.M.Goshgarian</w:t>
      </w:r>
      <w:proofErr w:type="spellEnd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editor de los </w:t>
      </w:r>
      <w:r w:rsidR="00BA5E5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cinco 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últimos volúmenes póstumos, </w:t>
      </w:r>
      <w:r w:rsidR="001A041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deseamos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destacar la </w:t>
      </w:r>
      <w:r w:rsidR="00634ED8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analogía </w:t>
      </w:r>
      <w:r w:rsidR="00663E5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entre e</w:t>
      </w:r>
      <w:r w:rsidR="00634ED8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l 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problema del </w:t>
      </w:r>
      <w:proofErr w:type="spellStart"/>
      <w:r w:rsidR="00634ED8" w:rsidRPr="00046F26">
        <w:rPr>
          <w:rFonts w:ascii="Helvetica" w:eastAsia="Times New Roman" w:hAnsi="Helvetica" w:cs="Times New Roman"/>
          <w:i/>
          <w:color w:val="000000"/>
          <w:sz w:val="22"/>
          <w:szCs w:val="22"/>
          <w:shd w:val="clear" w:color="auto" w:fill="FFFFFF"/>
          <w:lang w:eastAsia="es-ES_tradnl"/>
        </w:rPr>
        <w:t>clinamen</w:t>
      </w:r>
      <w:r w:rsidR="00634ED8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que</w:t>
      </w:r>
      <w:proofErr w:type="spellEnd"/>
      <w:r w:rsidR="00634ED8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da lugar al surgimiento de un mundo</w:t>
      </w:r>
      <w:r w:rsidR="006D04E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nuevo</w:t>
      </w:r>
      <w:r w:rsidR="0093448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</w:t>
      </w:r>
      <w:r w:rsidR="001A041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un tema </w:t>
      </w:r>
      <w:r w:rsidR="0093448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característico del “último </w:t>
      </w:r>
      <w:proofErr w:type="spellStart"/>
      <w:r w:rsidR="0093448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Althusser</w:t>
      </w:r>
      <w:proofErr w:type="spellEnd"/>
      <w:r w:rsidR="0093448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”,</w:t>
      </w:r>
      <w:r w:rsidR="00663E5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con</w:t>
      </w:r>
      <w:r w:rsidR="0093448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</w:t>
      </w:r>
      <w:proofErr w:type="spellStart"/>
      <w:r w:rsidR="0093448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elproblema</w:t>
      </w:r>
      <w:proofErr w:type="spellEnd"/>
      <w:r w:rsidR="0093448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de </w:t>
      </w:r>
      <w:r w:rsidR="00663E5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la </w:t>
      </w:r>
      <w:r w:rsidR="00DB78A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“</w:t>
      </w:r>
      <w:r w:rsidR="00663E5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ruptura revolucionaria</w:t>
      </w:r>
      <w:r w:rsidR="00DB78A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”</w:t>
      </w:r>
      <w:r w:rsidR="00663E5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</w:t>
      </w:r>
      <w:r w:rsidR="001A041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un problema </w:t>
      </w:r>
      <w:r w:rsidR="0093448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que interpela a los otros </w:t>
      </w:r>
      <w:proofErr w:type="spellStart"/>
      <w:r w:rsidR="0093448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Althusser</w:t>
      </w:r>
      <w:proofErr w:type="spellEnd"/>
      <w:r w:rsidR="0093448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en particular debido a que </w:t>
      </w:r>
      <w:r w:rsidR="00DB78A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la persistencia del mundo que adviene luego del </w:t>
      </w:r>
      <w:proofErr w:type="spellStart"/>
      <w:r w:rsidR="00DB78AA" w:rsidRPr="00046F26">
        <w:rPr>
          <w:rFonts w:ascii="Helvetica" w:eastAsia="Times New Roman" w:hAnsi="Helvetica" w:cs="Times New Roman"/>
          <w:i/>
          <w:color w:val="000000"/>
          <w:sz w:val="22"/>
          <w:szCs w:val="22"/>
          <w:shd w:val="clear" w:color="auto" w:fill="FFFFFF"/>
          <w:lang w:eastAsia="es-ES_tradnl"/>
        </w:rPr>
        <w:t>clinamen</w:t>
      </w:r>
      <w:r w:rsidR="0093448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depende</w:t>
      </w:r>
      <w:proofErr w:type="spellEnd"/>
      <w:r w:rsidR="001A041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,</w:t>
      </w:r>
      <w:r w:rsidR="0093448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tanto como una revolución</w:t>
      </w:r>
      <w:r w:rsidR="001A041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,</w:t>
      </w:r>
      <w:r w:rsidR="0093448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de lo que ocurre después de la misma, es decir, </w:t>
      </w:r>
      <w:r w:rsidR="00DB78A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de la</w:t>
      </w:r>
      <w:r w:rsidR="00663E5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posibilidad de reproducirse de una sociedad posrevolucionaria. </w:t>
      </w:r>
      <w:r w:rsidR="00324854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El intento de pen</w:t>
      </w:r>
      <w:r w:rsidR="00BA5E5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s</w:t>
      </w:r>
      <w:r w:rsidR="00324854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ar esas condiciones de la posibilidad de la reproducción de un orden determinado es inescindible del pensamiento de ese orden. </w:t>
      </w:r>
    </w:p>
    <w:p w:rsidR="00E57775" w:rsidRPr="00046F26" w:rsidRDefault="00324854" w:rsidP="00046F26">
      <w:pPr>
        <w:ind w:firstLine="709"/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Ahora bien, esas condiciones han recibido un nombre: “dictadura de clase”</w:t>
      </w:r>
      <w:r w:rsidR="00190F3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o “dominación de clase”. Al hablar de la “dictadura o de la dominación de una clase social” no se habla, en consecuencia, de las formas de ejercicio del poder </w:t>
      </w:r>
      <w:r w:rsidR="001A041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llevadas adelante</w:t>
      </w:r>
      <w:r w:rsidR="00190F3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por los representantes de la clase, en el terreno de lo que sociológicamente podemos aprehender como “esfera jurídico-política”. </w:t>
      </w:r>
      <w:r w:rsidR="00371C4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Estas formas de dominación no</w:t>
      </w:r>
      <w:r w:rsidR="00190F3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pueden ubicarse entre las formas político-legales, sino que están por debajo de las mismas, co</w:t>
      </w:r>
      <w:r w:rsidR="00371C4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mo su condición de posibilidad. Michel Foucault nos ha mostrado, en el caso del poder disciplinario, como estas formas de “</w:t>
      </w:r>
      <w:proofErr w:type="spellStart"/>
      <w:r w:rsidR="00371C4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subpoder</w:t>
      </w:r>
      <w:proofErr w:type="spellEnd"/>
      <w:r w:rsidR="00371C4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” </w:t>
      </w:r>
      <w:r w:rsidR="001A041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constituyen la </w:t>
      </w:r>
      <w:r w:rsidR="00371C4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condición de posibilidad</w:t>
      </w:r>
      <w:r w:rsidR="001A041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de</w:t>
      </w:r>
      <w:r w:rsidR="00371C4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las formas político-legales. Se trata de aquello que emerge cuando Marx declara que, ante la </w:t>
      </w:r>
      <w:proofErr w:type="spellStart"/>
      <w:r w:rsidR="00371C4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subdeterminación</w:t>
      </w:r>
      <w:proofErr w:type="spellEnd"/>
      <w:r w:rsidR="00371C4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jurídica a la que está expuesta la duración de la jornada laboral (ante los iguales derechos y los intereses contradictorios de trabajadores y capitalistas) “decide la fuerza (</w:t>
      </w:r>
      <w:proofErr w:type="spellStart"/>
      <w:r w:rsidR="00371C4E" w:rsidRPr="00046F26">
        <w:rPr>
          <w:rFonts w:ascii="Helvetica" w:eastAsia="Times New Roman" w:hAnsi="Helvetica" w:cs="Times New Roman"/>
          <w:i/>
          <w:color w:val="000000"/>
          <w:sz w:val="22"/>
          <w:szCs w:val="22"/>
          <w:shd w:val="clear" w:color="auto" w:fill="FFFFFF"/>
          <w:lang w:eastAsia="es-ES_tradnl"/>
        </w:rPr>
        <w:t>Gewalt</w:t>
      </w:r>
      <w:proofErr w:type="spellEnd"/>
      <w:r w:rsidR="00371C4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)”. </w:t>
      </w:r>
    </w:p>
    <w:p w:rsidR="006A07E0" w:rsidRPr="00046F26" w:rsidRDefault="00371C4E" w:rsidP="00046F26">
      <w:pPr>
        <w:ind w:firstLine="709"/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La dictadura de la burguesía no se reduce a sus fórmulas políticas, </w:t>
      </w:r>
      <w:r w:rsidR="006A07E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mayoritariamente democráticas y parlamentarias hoy en día, </w:t>
      </w:r>
      <w:r w:rsidR="00080DA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algo que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comienza hoy a </w:t>
      </w:r>
      <w:r w:rsidR="006A07E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redescubrirse en expresiones como “</w:t>
      </w:r>
      <w:proofErr w:type="spellStart"/>
      <w:r w:rsidR="006A07E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democradura</w:t>
      </w:r>
      <w:proofErr w:type="spellEnd"/>
      <w:r w:rsidR="006A07E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”, sino que va desde las formas más crudas de la explotación económica, incluye las formas groseras y sutiles de la presión y el chantaje ideológico, combinadas con el gansterismo puro y duro</w:t>
      </w:r>
      <w:r w:rsidR="00080DA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, tocando extremos, llegado el caso, como el de la desaparición masiva de personas.</w:t>
      </w:r>
    </w:p>
    <w:p w:rsidR="00E57775" w:rsidRPr="00046F26" w:rsidRDefault="00080DAF" w:rsidP="00046F26">
      <w:pPr>
        <w:ind w:firstLine="709"/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Si la existencia de un orden equivale a la de sus condiciones de reproducción, entonces el pensamiento de estas condiciones es una tarea de </w:t>
      </w:r>
      <w:r w:rsidR="004A098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crucial importancia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política y científica. </w:t>
      </w:r>
      <w:r w:rsidR="00E5777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La tarea es p</w:t>
      </w:r>
      <w:r w:rsidR="00600B2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ensar con realismo</w:t>
      </w:r>
      <w:r w:rsidR="00813F7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político</w:t>
      </w:r>
      <w:r w:rsidR="00600B2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es decir, </w:t>
      </w:r>
      <w:r w:rsidR="004A098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“</w:t>
      </w:r>
      <w:r w:rsidR="00600B2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no contarse historias</w:t>
      </w:r>
      <w:r w:rsidR="004A098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”</w:t>
      </w:r>
      <w:r w:rsidR="00813F7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sobre</w:t>
      </w:r>
      <w:r w:rsidR="00600B2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la dominación de clase de burguesía y reflexionar también acerca de l</w:t>
      </w:r>
      <w:r w:rsidR="00813F7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</w:t>
      </w:r>
      <w:r w:rsidR="00600B2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s condiciones de la “dominación de clase del proletariado y sus aliados”</w:t>
      </w:r>
      <w:r w:rsidR="00D5004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</w:t>
      </w:r>
      <w:r w:rsidR="00E5777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sobre las </w:t>
      </w:r>
      <w:r w:rsidR="00E5777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lastRenderedPageBreak/>
        <w:t xml:space="preserve">condiciones </w:t>
      </w:r>
      <w:r w:rsidR="00D5004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de una hegemonía popular. La construcción de una hegemonía de la clase trabajadoraha recibido, </w:t>
      </w:r>
      <w:r w:rsidR="00600B2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en la tradición marxista</w:t>
      </w:r>
      <w:r w:rsidR="00D5004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,</w:t>
      </w:r>
      <w:r w:rsidR="00600B2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el nombre incómodo de “dictadura del proletariado”</w:t>
      </w:r>
      <w:r w:rsidR="00813F7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</w:t>
      </w:r>
      <w:r w:rsidR="00D5004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para designar a una </w:t>
      </w:r>
      <w:r w:rsidR="00813F7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dominación de clase que se ejerce a través de una forma política</w:t>
      </w:r>
      <w:r w:rsidR="00D5004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</w:t>
      </w:r>
      <w:r w:rsidR="00813F7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la “democracia social” o la “democracia de masas” de acuerdo a Marx y a Lenin, pero que no se reduce a la misma, sino que debe manifestarse como dominación de clase en la producción y en la ideología</w:t>
      </w:r>
      <w:r w:rsidR="00600B2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.</w:t>
      </w:r>
    </w:p>
    <w:p w:rsidR="00080DAF" w:rsidRPr="00046F26" w:rsidRDefault="009C5F64" w:rsidP="00046F26">
      <w:pPr>
        <w:ind w:firstLine="709"/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“No contarse historias”</w:t>
      </w:r>
      <w:r w:rsidR="00E5777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,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entonces, implica </w:t>
      </w:r>
      <w:r w:rsidR="00F2050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interrumpir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el largo lamento de la izquierda latinoamericana por haber </w:t>
      </w:r>
      <w:r w:rsidR="00D539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osado 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cuestiona</w:t>
      </w:r>
      <w:r w:rsidR="00D539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r 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la “democracia formal” y </w:t>
      </w:r>
      <w:r w:rsidR="00D539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suspende</w:t>
      </w:r>
      <w:r w:rsidR="00E7563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r</w:t>
      </w:r>
      <w:r w:rsidR="004038D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también la </w:t>
      </w:r>
      <w:r w:rsidR="00D539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ilusión</w:t>
      </w:r>
      <w:r w:rsidR="004038D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entusiasta </w:t>
      </w:r>
      <w:r w:rsidR="00D539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respecto </w:t>
      </w:r>
      <w:r w:rsidR="004038D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a las formas de la ideología </w:t>
      </w:r>
      <w:proofErr w:type="spellStart"/>
      <w:r w:rsidR="004038D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juridicista</w:t>
      </w:r>
      <w:proofErr w:type="spellEnd"/>
      <w:r w:rsidR="004038D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. Pero </w:t>
      </w:r>
      <w:r w:rsidR="00D539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sobre todo </w:t>
      </w:r>
      <w:r w:rsidR="00E5777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implica reconocer que este sacudón ideológico </w:t>
      </w:r>
      <w:r w:rsidR="004038D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no es un punto de llegada, sino el lugar donde comienza o recomienza la historia.</w:t>
      </w:r>
    </w:p>
    <w:p w:rsidR="00F21076" w:rsidRPr="00046F26" w:rsidRDefault="004038D7" w:rsidP="00046F26">
      <w:pPr>
        <w:ind w:firstLine="709"/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Uno de los hilos fundamentales de la trama de los escritos póstumos de </w:t>
      </w:r>
      <w:proofErr w:type="spellStart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Althusser</w:t>
      </w:r>
      <w:proofErr w:type="spellEnd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es un</w:t>
      </w:r>
      <w:r w:rsidR="001A68E3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cuestionamiento de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la relación </w:t>
      </w:r>
      <w:r w:rsidR="001A68E3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entre 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la filosofía y las otras prácticas</w:t>
      </w:r>
      <w:r w:rsidR="001A68E3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sociales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. Creemos que allí se cifra una densa reflexión acerca del carácter </w:t>
      </w:r>
      <w:r w:rsidRPr="00046F26">
        <w:rPr>
          <w:rFonts w:ascii="Helvetica" w:eastAsia="Times New Roman" w:hAnsi="Helvetica" w:cs="Times New Roman"/>
          <w:i/>
          <w:color w:val="000000"/>
          <w:sz w:val="22"/>
          <w:szCs w:val="22"/>
          <w:shd w:val="clear" w:color="auto" w:fill="FFFFFF"/>
          <w:lang w:eastAsia="es-ES_tradnl"/>
        </w:rPr>
        <w:t>sui generis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que posee la dominación del proletariado y sus aliados, el problema de la constitución de una hegemonía popular. En efecto, l</w:t>
      </w:r>
      <w:r w:rsidR="00371C4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a reflexión </w:t>
      </w:r>
      <w:proofErr w:type="spellStart"/>
      <w:r w:rsidR="00371C4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althusseriana</w:t>
      </w:r>
      <w:proofErr w:type="spellEnd"/>
      <w:r w:rsidR="00371C4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muestra que 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las</w:t>
      </w:r>
      <w:r w:rsidR="00371C4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formas de 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dominación o dictadura de clase </w:t>
      </w:r>
      <w:r w:rsidR="00371C4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guardan un vínculo integral con la</w:t>
      </w:r>
      <w:r w:rsidR="00FB4B63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s</w:t>
      </w:r>
      <w:r w:rsidR="00371C4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formas de unificación ideológica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. La dictadura de clase es ejercida, entre otros factores</w:t>
      </w:r>
      <w:r w:rsidR="001E7EF9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,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a través de la unificación ideológica</w:t>
      </w:r>
      <w:r w:rsidR="009810C0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, unificación que a su vez impulsa la dominación de clase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. A su vez, la unificación ideológica constituye</w:t>
      </w:r>
      <w:r w:rsidR="00371C4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la </w:t>
      </w:r>
      <w:r w:rsidR="00371C4E" w:rsidRPr="00046F26">
        <w:rPr>
          <w:rFonts w:ascii="Helvetica" w:eastAsia="Times New Roman" w:hAnsi="Helvetica" w:cs="Times New Roman"/>
          <w:i/>
          <w:color w:val="000000"/>
          <w:sz w:val="22"/>
          <w:szCs w:val="22"/>
          <w:shd w:val="clear" w:color="auto" w:fill="FFFFFF"/>
          <w:lang w:eastAsia="es-ES_tradnl"/>
        </w:rPr>
        <w:t>explotación</w:t>
      </w:r>
      <w:r w:rsidR="00371C4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de las distintas prácticas, en el sentido de someterlas a objetivos que están más allá del alcance de la propia práctica, de sus efectos específicos. </w:t>
      </w:r>
      <w:proofErr w:type="spellStart"/>
      <w:r w:rsidR="00F2107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Althusser</w:t>
      </w:r>
      <w:proofErr w:type="spellEnd"/>
      <w:r w:rsidR="00F2107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pudo discernir, y en los escritos póstumos encontramos </w:t>
      </w:r>
      <w:r w:rsidR="00F3309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una</w:t>
      </w:r>
      <w:r w:rsidR="00F2107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clarifica</w:t>
      </w:r>
      <w:r w:rsidR="00F3309E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ción </w:t>
      </w:r>
      <w:r w:rsidR="00F2107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de este punto, el vínculo entre la filosofía tradicional y esta unificación ideológica. A raíz de ello su itinerario puede verse como una manera de afrontar a una pregunta crucial, formulada ya hacia fines de los años 50: </w:t>
      </w:r>
      <w:r w:rsidR="004B4073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¿cómo alejarse de la</w:t>
      </w:r>
      <w:r w:rsidR="009D593C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filosofía sin fundar una</w:t>
      </w:r>
      <w:r w:rsidR="004B4073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?</w:t>
      </w:r>
      <w:r w:rsidR="00090C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Su temprana posición antifilosófica, seguida por su posición </w:t>
      </w:r>
      <w:proofErr w:type="spellStart"/>
      <w:r w:rsidR="00090C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teoricista</w:t>
      </w:r>
      <w:proofErr w:type="spellEnd"/>
      <w:r w:rsidR="00090C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(una teoría de la filosofía</w:t>
      </w:r>
      <w:r w:rsidR="00741D4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científica</w:t>
      </w:r>
      <w:r w:rsidR="00090C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) y su posterior promoción de “una nueva práctica de la filosofía”</w:t>
      </w:r>
      <w:r w:rsidR="00741D4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son respuestas sucesivas a esta misma pregunta</w:t>
      </w:r>
      <w:r w:rsidR="003572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.</w:t>
      </w:r>
    </w:p>
    <w:p w:rsidR="00E324D4" w:rsidRPr="00046F26" w:rsidRDefault="009810C0" w:rsidP="00046F26">
      <w:pPr>
        <w:ind w:firstLine="709"/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E</w:t>
      </w:r>
      <w:r w:rsidR="003572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s</w:t>
      </w:r>
      <w:r w:rsidR="0060601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importante reconocer que es</w:t>
      </w:r>
      <w:r w:rsidR="003572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ta preocupación por la filosofía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no es una deriva abstracta, sino que se inscribe</w:t>
      </w:r>
      <w:r w:rsidR="003572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en el 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centro</w:t>
      </w:r>
      <w:r w:rsidR="003572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de una preocupación por la política. En efecto, si las filosofías dominantes son el cenit de</w:t>
      </w:r>
      <w:r w:rsidR="0060601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l</w:t>
      </w:r>
      <w:r w:rsidR="003572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proceso de unificación</w:t>
      </w:r>
      <w:r w:rsidR="0060601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ideológica</w:t>
      </w:r>
      <w:r w:rsidR="003572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en el cual descansa la viabilidad de un mundo social concreto, entonces la cuestión de la filosofía </w:t>
      </w:r>
      <w:r w:rsidR="00E324D4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es también </w:t>
      </w:r>
      <w:r w:rsidR="003572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una cuestión crucial respecto a la posibilidad de un orden social alternativo, </w:t>
      </w:r>
      <w:r w:rsidR="00C1511B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de </w:t>
      </w:r>
      <w:r w:rsidR="00E324D4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l</w:t>
      </w:r>
      <w:r w:rsidR="003572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a dominación de clase del proletariado y sus aliados, </w:t>
      </w:r>
      <w:r w:rsidR="00E324D4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esto es, </w:t>
      </w:r>
      <w:r w:rsidR="0035721F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de</w:t>
      </w:r>
      <w:r w:rsidR="005C342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una hegemonía popular. S</w:t>
      </w:r>
      <w:r w:rsidR="00C1511B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e</w:t>
      </w:r>
      <w:r w:rsidR="005C342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trata de</w:t>
      </w:r>
      <w:r w:rsidR="00C1511B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las condiciones de su </w:t>
      </w:r>
      <w:r w:rsidR="005C342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gestación y de su duración</w:t>
      </w:r>
      <w:r w:rsidR="00C1511B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. </w:t>
      </w:r>
    </w:p>
    <w:p w:rsidR="0035721F" w:rsidRPr="00046F26" w:rsidRDefault="00CD2F31" w:rsidP="00046F26">
      <w:pPr>
        <w:ind w:firstLine="709"/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En el problema de la filosofía se concentran un conjunto de dificultades políticas, e incluso podríamos decir, ético-políticas, vinculadas al proceso de construcción de una nueva forma de sociedad. </w:t>
      </w:r>
      <w:proofErr w:type="spellStart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Althusser</w:t>
      </w:r>
      <w:proofErr w:type="spellEnd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lleg</w:t>
      </w:r>
      <w:r w:rsidR="00E324D4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ó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a percibir que la care</w:t>
      </w:r>
      <w:r w:rsidR="00E324D4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ncia de una filosofía marxista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100 años después de la publicación de </w:t>
      </w:r>
      <w:r w:rsidRPr="00046F26">
        <w:rPr>
          <w:rFonts w:ascii="Helvetica" w:eastAsia="Times New Roman" w:hAnsi="Helvetica" w:cs="Times New Roman"/>
          <w:i/>
          <w:color w:val="000000"/>
          <w:sz w:val="22"/>
          <w:szCs w:val="22"/>
          <w:shd w:val="clear" w:color="auto" w:fill="FFFFFF"/>
          <w:lang w:eastAsia="es-ES_tradnl"/>
        </w:rPr>
        <w:t>El Capital</w:t>
      </w:r>
      <w:r w:rsidR="00E324D4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de Marx no es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una mera falencia, sino </w:t>
      </w:r>
      <w:r w:rsidR="00E324D4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un hecho 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que posee un valor sintomático, teórico y político. En efecto, la filosofía de la construcción de una hegemonía popular no </w:t>
      </w:r>
      <w:r w:rsidR="0038697B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podría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ser una forma alternativa de unificación, una forma alternativa de explotación de las distintas prácticas, sino su no explotación, </w:t>
      </w:r>
      <w:r w:rsidR="008F72A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la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liberación de la</w:t>
      </w:r>
      <w:r w:rsidR="004A098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s enormes constricciones</w:t>
      </w:r>
      <w:r w:rsidR="008F72A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ideológicas</w:t>
      </w:r>
      <w:r w:rsidR="004A098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que pe</w:t>
      </w: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san sobre las mismas</w:t>
      </w:r>
      <w:r w:rsidR="004A0985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.</w:t>
      </w:r>
    </w:p>
    <w:p w:rsidR="0035721F" w:rsidRPr="00046F26" w:rsidRDefault="0038697B" w:rsidP="00046F26">
      <w:pPr>
        <w:ind w:firstLine="709"/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El itinerario </w:t>
      </w:r>
      <w:proofErr w:type="spellStart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althusseriano</w:t>
      </w:r>
      <w:proofErr w:type="spellEnd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</w:t>
      </w:r>
      <w:proofErr w:type="spellStart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muestrauna</w:t>
      </w:r>
      <w:proofErr w:type="spellEnd"/>
      <w:r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singular lucidez en sus intervenciones teóricas y políticas, abrigado al calor de un momento crucial en la historia de la lucha de clases, el de mediados de los años 70s. </w:t>
      </w:r>
      <w:r w:rsidR="00D539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Surgen, sin lugar a dudas, </w:t>
      </w:r>
      <w:r w:rsidR="001F6FF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y es </w:t>
      </w:r>
      <w:r w:rsidR="004E6B1C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aquí donde el punto de partida adquiere primacía sobre el de llegada,</w:t>
      </w:r>
      <w:r w:rsidR="00D539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un enorme cúmulo de </w:t>
      </w:r>
      <w:r w:rsidR="00FB4B63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cuestiones</w:t>
      </w:r>
      <w:r w:rsidR="001F6FF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e interrogantes. P</w:t>
      </w:r>
      <w:r w:rsidR="00D539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ara comenzar</w:t>
      </w:r>
      <w:r w:rsidR="00564958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debemos plantearnos la cuestión acerca de en qué medida </w:t>
      </w:r>
      <w:r w:rsidR="006366FC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estas reflexiones </w:t>
      </w:r>
      <w:r w:rsidR="00E324D4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pueden </w:t>
      </w:r>
      <w:r w:rsidR="00D539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ser retomadas hoy, en una coyuntura muy diferente, en la cual el capitalismo se reproduce como </w:t>
      </w:r>
      <w:r w:rsidR="005C342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“</w:t>
      </w:r>
      <w:r w:rsidR="00D539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neoliberalismo</w:t>
      </w:r>
      <w:r w:rsidR="005C342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”</w:t>
      </w:r>
      <w:r w:rsidR="00D539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</w:t>
      </w:r>
      <w:r w:rsidR="00C1101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transformando,</w:t>
      </w:r>
      <w:r w:rsidR="00D539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en </w:t>
      </w:r>
      <w:r w:rsidR="00FB4B63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consecuencia</w:t>
      </w:r>
      <w:r w:rsidR="00D539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</w:t>
      </w:r>
      <w:r w:rsidR="005C342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el</w:t>
      </w:r>
      <w:r w:rsidR="00D539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conjunto de </w:t>
      </w:r>
      <w:r w:rsidR="00C1101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los </w:t>
      </w:r>
      <w:r w:rsidR="00D539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aparatos de estado, ideológicos y represivos, a través de los cuales se despliega</w:t>
      </w:r>
      <w:r w:rsidR="005C342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hoy</w:t>
      </w:r>
      <w:r w:rsidR="00D539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la dictadura de la clase burguesa.</w:t>
      </w:r>
      <w:r w:rsidR="00C1101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¿</w:t>
      </w:r>
      <w:r w:rsidR="00226281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E</w:t>
      </w:r>
      <w:r w:rsidR="00D539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n </w:t>
      </w:r>
      <w:r w:rsidR="00FB4B63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qué</w:t>
      </w:r>
      <w:r w:rsidR="00D539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</w:t>
      </w:r>
      <w:r w:rsidR="00D539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lastRenderedPageBreak/>
        <w:t>medida los vestigios del aparato de estad</w:t>
      </w:r>
      <w:r w:rsidR="00FB4B63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o con el cual el capital</w:t>
      </w:r>
      <w:r w:rsidR="00D539C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ismo </w:t>
      </w:r>
      <w:r w:rsidR="00FB4B63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se reproducía como “estado de bienestar”</w:t>
      </w:r>
      <w:r w:rsidR="008F72A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, en evidente colisión hoy en día con la avanzada neoliberal,</w:t>
      </w:r>
      <w:r w:rsidR="00FB4B63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pueden ayudar en la coyuntura actual a producir efectos en contrario de la maquinaria estatal dominante</w:t>
      </w:r>
      <w:r w:rsidR="00C1101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?</w:t>
      </w:r>
      <w:r w:rsidR="008F72A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Hay que indagar también</w:t>
      </w:r>
      <w:r w:rsidR="00225361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, acerca de </w:t>
      </w:r>
      <w:r w:rsidR="008F72AA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esta nueva práctica de la filosofí</w:t>
      </w:r>
      <w:r w:rsidR="00225361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 y de la constitución de una hegemonía popular, qué formas puede adoptar</w:t>
      </w:r>
      <w:r w:rsidR="00226281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,</w:t>
      </w:r>
      <w:r w:rsidR="00225361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diferentes de un mero </w:t>
      </w:r>
      <w:proofErr w:type="spellStart"/>
      <w:r w:rsidR="00225361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basismo</w:t>
      </w:r>
      <w:proofErr w:type="spellEnd"/>
      <w:r w:rsidR="00225361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o autonomismo</w:t>
      </w:r>
      <w:r w:rsidR="00226281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,</w:t>
      </w:r>
      <w:r w:rsidR="00225361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y cómo la misma se concilia con el conocimiento científico de la historia</w:t>
      </w:r>
      <w:r w:rsidR="00226281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y con l</w:t>
      </w:r>
      <w:r w:rsidR="00225361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 toma de posición política</w:t>
      </w:r>
      <w:r w:rsidR="00226281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que este conocimiento demanda</w:t>
      </w:r>
      <w:r w:rsidR="00225361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. </w:t>
      </w:r>
      <w:r w:rsidR="00226281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La lista de preguntas, naturalmente, podría continuar. </w:t>
      </w:r>
      <w:r w:rsidR="00225361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Se trata, en todos los casos, de interrogantes abiertos, de interpelaciones que querríamos lanzar y a las que deseamos arrojarnos, </w:t>
      </w:r>
      <w:r w:rsidR="00226281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apelaciones </w:t>
      </w:r>
      <w:r w:rsidR="00225361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que surgen de un vínculo, tan preciso como difícil de caracterizar, entre los escritos póstumos de </w:t>
      </w:r>
      <w:proofErr w:type="spellStart"/>
      <w:r w:rsidR="00225361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Althusser</w:t>
      </w:r>
      <w:proofErr w:type="spellEnd"/>
      <w:r w:rsidR="00225361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y la producción teóric</w:t>
      </w:r>
      <w:r w:rsidR="00764734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 de M</w:t>
      </w:r>
      <w:r w:rsidR="00225361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arx, </w:t>
      </w:r>
      <w:r w:rsidR="00046F26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y más </w:t>
      </w:r>
      <w:r w:rsidR="007E752D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aún</w:t>
      </w:r>
      <w:r w:rsidR="00C1101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, de la naturaleza de</w:t>
      </w:r>
      <w:r w:rsidR="00225361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la presencia de Marx en toda </w:t>
      </w:r>
      <w:r w:rsidR="00C1101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la</w:t>
      </w:r>
      <w:r w:rsidR="00225361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producción teórica</w:t>
      </w:r>
      <w:r w:rsidR="00C11017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 xml:space="preserve"> althusseriana</w:t>
      </w:r>
      <w:r w:rsidR="00225361" w:rsidRPr="00046F26"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  <w:t>.</w:t>
      </w:r>
    </w:p>
    <w:p w:rsidR="003C7F7D" w:rsidRDefault="003C7F7D" w:rsidP="003C7F7D">
      <w:pPr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</w:p>
    <w:p w:rsidR="003C7F7D" w:rsidRDefault="003C7F7D" w:rsidP="003C7F7D">
      <w:pPr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</w:p>
    <w:p w:rsidR="003C7F7D" w:rsidRDefault="003C7F7D" w:rsidP="003C7F7D">
      <w:pPr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</w:p>
    <w:p w:rsidR="003C7F7D" w:rsidRPr="003C7F7D" w:rsidRDefault="003C7F7D" w:rsidP="003C7F7D">
      <w:pPr>
        <w:rPr>
          <w:rFonts w:ascii="Times New Roman" w:eastAsia="Times New Roman" w:hAnsi="Times New Roman" w:cs="Times New Roman"/>
          <w:lang w:eastAsia="es-ES_tradnl"/>
        </w:rPr>
      </w:pPr>
      <w:r w:rsidRPr="003C7F7D">
        <w:rPr>
          <w:rFonts w:ascii="Times New Roman" w:eastAsia="Times New Roman" w:hAnsi="Times New Roman" w:cs="Times New Roman"/>
          <w:b/>
          <w:bCs/>
          <w:sz w:val="18"/>
          <w:szCs w:val="18"/>
          <w:lang w:eastAsia="es-ES_tradnl"/>
        </w:rPr>
        <w:t>Organizan:</w:t>
      </w:r>
    </w:p>
    <w:p w:rsidR="003C7F7D" w:rsidRPr="003C7F7D" w:rsidRDefault="003C7F7D" w:rsidP="003C7F7D">
      <w:pPr>
        <w:spacing w:before="100" w:beforeAutospacing="1" w:after="100" w:afterAutospacing="1"/>
        <w:rPr>
          <w:rFonts w:ascii="Times New Roman" w:hAnsi="Times New Roman" w:cs="Times New Roman"/>
          <w:lang w:eastAsia="es-ES_tradnl"/>
        </w:rPr>
      </w:pPr>
      <w:proofErr w:type="spellStart"/>
      <w:r w:rsidRPr="003C7F7D">
        <w:rPr>
          <w:rFonts w:ascii="Arial" w:hAnsi="Arial" w:cs="Arial"/>
          <w:color w:val="000000"/>
          <w:lang w:eastAsia="es-ES_tradnl"/>
        </w:rPr>
        <w:t>ReLEA</w:t>
      </w:r>
      <w:proofErr w:type="spellEnd"/>
      <w:r w:rsidRPr="003C7F7D">
        <w:rPr>
          <w:rFonts w:ascii="Arial" w:hAnsi="Arial" w:cs="Arial"/>
          <w:color w:val="000000"/>
          <w:lang w:eastAsia="es-ES_tradnl"/>
        </w:rPr>
        <w:t xml:space="preserve">- Red Latinoamericana de Estudios </w:t>
      </w:r>
      <w:proofErr w:type="spellStart"/>
      <w:r w:rsidRPr="003C7F7D">
        <w:rPr>
          <w:rFonts w:ascii="Arial" w:hAnsi="Arial" w:cs="Arial"/>
          <w:color w:val="000000"/>
          <w:lang w:eastAsia="es-ES_tradnl"/>
        </w:rPr>
        <w:t>Althusserianos</w:t>
      </w:r>
      <w:proofErr w:type="spellEnd"/>
    </w:p>
    <w:p w:rsidR="003C7F7D" w:rsidRPr="003C7F7D" w:rsidRDefault="003C7F7D" w:rsidP="003C7F7D">
      <w:pPr>
        <w:spacing w:before="100" w:beforeAutospacing="1" w:after="100" w:afterAutospacing="1"/>
        <w:rPr>
          <w:rFonts w:ascii="Times New Roman" w:hAnsi="Times New Roman" w:cs="Times New Roman"/>
          <w:lang w:eastAsia="es-ES_tradnl"/>
        </w:rPr>
      </w:pPr>
      <w:proofErr w:type="spellStart"/>
      <w:r w:rsidRPr="003C7F7D">
        <w:rPr>
          <w:rFonts w:ascii="Arial" w:hAnsi="Arial" w:cs="Arial"/>
          <w:lang w:eastAsia="es-ES_tradnl"/>
        </w:rPr>
        <w:t>CieFi</w:t>
      </w:r>
      <w:proofErr w:type="spellEnd"/>
      <w:r w:rsidRPr="003C7F7D">
        <w:rPr>
          <w:rFonts w:ascii="Arial" w:hAnsi="Arial" w:cs="Arial"/>
          <w:lang w:eastAsia="es-ES_tradnl"/>
        </w:rPr>
        <w:t xml:space="preserve"> (Centro de investigaciones en filosofía, </w:t>
      </w:r>
      <w:proofErr w:type="spellStart"/>
      <w:r w:rsidRPr="003C7F7D">
        <w:rPr>
          <w:rFonts w:ascii="Arial" w:hAnsi="Arial" w:cs="Arial"/>
          <w:lang w:eastAsia="es-ES_tradnl"/>
        </w:rPr>
        <w:t>FaHCE</w:t>
      </w:r>
      <w:proofErr w:type="spellEnd"/>
      <w:r w:rsidRPr="003C7F7D">
        <w:rPr>
          <w:rFonts w:ascii="Arial" w:hAnsi="Arial" w:cs="Arial"/>
          <w:lang w:eastAsia="es-ES_tradnl"/>
        </w:rPr>
        <w:t>-UNLP-IdIHCS)</w:t>
      </w:r>
    </w:p>
    <w:p w:rsidR="003C7F7D" w:rsidRPr="003C7F7D" w:rsidRDefault="003C7F7D" w:rsidP="003C7F7D">
      <w:pPr>
        <w:spacing w:before="100" w:beforeAutospacing="1" w:after="100" w:afterAutospacing="1"/>
        <w:rPr>
          <w:rFonts w:ascii="Times New Roman" w:hAnsi="Times New Roman" w:cs="Times New Roman"/>
          <w:lang w:eastAsia="es-ES_tradnl"/>
        </w:rPr>
      </w:pPr>
      <w:r w:rsidRPr="003C7F7D">
        <w:rPr>
          <w:rFonts w:ascii="Arial" w:hAnsi="Arial" w:cs="Arial"/>
          <w:lang w:eastAsia="es-ES_tradnl"/>
        </w:rPr>
        <w:t>Proyecto “Lenguaje y laso social. Subjetividad, sujeción y crítica” (PIP 0330, PICT 2015-1996, H872)</w:t>
      </w:r>
    </w:p>
    <w:p w:rsidR="003C7F7D" w:rsidRPr="003C7F7D" w:rsidRDefault="003C7F7D" w:rsidP="003C7F7D">
      <w:pPr>
        <w:spacing w:before="100" w:beforeAutospacing="1" w:after="100" w:afterAutospacing="1"/>
        <w:rPr>
          <w:rFonts w:ascii="Times New Roman" w:hAnsi="Times New Roman" w:cs="Times New Roman"/>
          <w:lang w:eastAsia="es-ES_tradnl"/>
        </w:rPr>
      </w:pPr>
      <w:r w:rsidRPr="003C7F7D">
        <w:rPr>
          <w:rFonts w:ascii="Helvetica Neue" w:hAnsi="Helvetica Neue" w:cs="Times New Roman"/>
          <w:lang w:eastAsia="es-ES_tradnl"/>
        </w:rPr>
        <w:t xml:space="preserve">Programa de Estudios Críticos sobre Ideología, Técnica y Política Instituto de Investigaciones Gino </w:t>
      </w:r>
      <w:proofErr w:type="spellStart"/>
      <w:r w:rsidRPr="003C7F7D">
        <w:rPr>
          <w:rFonts w:ascii="Helvetica Neue" w:hAnsi="Helvetica Neue" w:cs="Times New Roman"/>
          <w:lang w:eastAsia="es-ES_tradnl"/>
        </w:rPr>
        <w:t>Germani</w:t>
      </w:r>
      <w:proofErr w:type="spellEnd"/>
      <w:r w:rsidRPr="003C7F7D">
        <w:rPr>
          <w:rFonts w:ascii="Helvetica Neue" w:hAnsi="Helvetica Neue" w:cs="Times New Roman"/>
          <w:lang w:eastAsia="es-ES_tradnl"/>
        </w:rPr>
        <w:t>, UBA</w:t>
      </w:r>
    </w:p>
    <w:p w:rsidR="003C7F7D" w:rsidRPr="00046F26" w:rsidRDefault="003C7F7D" w:rsidP="003C7F7D">
      <w:pPr>
        <w:jc w:val="both"/>
        <w:rPr>
          <w:rFonts w:ascii="Helvetica" w:eastAsia="Times New Roman" w:hAnsi="Helvetica" w:cs="Times New Roman"/>
          <w:color w:val="000000"/>
          <w:sz w:val="22"/>
          <w:szCs w:val="22"/>
          <w:shd w:val="clear" w:color="auto" w:fill="FFFFFF"/>
          <w:lang w:eastAsia="es-ES_tradnl"/>
        </w:rPr>
      </w:pPr>
    </w:p>
    <w:sectPr w:rsidR="003C7F7D" w:rsidRPr="00046F26" w:rsidSect="00DC5EF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swiss"/>
    <w:pitch w:val="variable"/>
    <w:sig w:usb0="00000003" w:usb1="500079DB" w:usb2="0000001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compat/>
  <w:rsids>
    <w:rsidRoot w:val="00282855"/>
    <w:rsid w:val="000230EC"/>
    <w:rsid w:val="000443EB"/>
    <w:rsid w:val="00046F26"/>
    <w:rsid w:val="00051162"/>
    <w:rsid w:val="00055D55"/>
    <w:rsid w:val="00080DAF"/>
    <w:rsid w:val="00090CC7"/>
    <w:rsid w:val="000B2630"/>
    <w:rsid w:val="000C7A29"/>
    <w:rsid w:val="00101F46"/>
    <w:rsid w:val="0013756D"/>
    <w:rsid w:val="001511B4"/>
    <w:rsid w:val="00174FA9"/>
    <w:rsid w:val="00180C0A"/>
    <w:rsid w:val="00190F3E"/>
    <w:rsid w:val="00191AB1"/>
    <w:rsid w:val="001A0410"/>
    <w:rsid w:val="001A68E3"/>
    <w:rsid w:val="001E7EF9"/>
    <w:rsid w:val="001F3AEF"/>
    <w:rsid w:val="001F6FFA"/>
    <w:rsid w:val="00225361"/>
    <w:rsid w:val="00226281"/>
    <w:rsid w:val="00282855"/>
    <w:rsid w:val="002D37AB"/>
    <w:rsid w:val="00324854"/>
    <w:rsid w:val="003473E8"/>
    <w:rsid w:val="0035721F"/>
    <w:rsid w:val="00362401"/>
    <w:rsid w:val="00371C4E"/>
    <w:rsid w:val="0038697B"/>
    <w:rsid w:val="003A0844"/>
    <w:rsid w:val="003C4906"/>
    <w:rsid w:val="003C7F7D"/>
    <w:rsid w:val="004038D7"/>
    <w:rsid w:val="00443EC4"/>
    <w:rsid w:val="004545D2"/>
    <w:rsid w:val="0045579D"/>
    <w:rsid w:val="004625A9"/>
    <w:rsid w:val="004627DE"/>
    <w:rsid w:val="00487370"/>
    <w:rsid w:val="004A0985"/>
    <w:rsid w:val="004B4073"/>
    <w:rsid w:val="004B6AE0"/>
    <w:rsid w:val="004E0463"/>
    <w:rsid w:val="004E6B1C"/>
    <w:rsid w:val="004F4D51"/>
    <w:rsid w:val="005237E8"/>
    <w:rsid w:val="00564958"/>
    <w:rsid w:val="005A4CEC"/>
    <w:rsid w:val="005B1ADF"/>
    <w:rsid w:val="005B3FE9"/>
    <w:rsid w:val="005C3426"/>
    <w:rsid w:val="005D5A00"/>
    <w:rsid w:val="005E18C9"/>
    <w:rsid w:val="00600B25"/>
    <w:rsid w:val="00606016"/>
    <w:rsid w:val="00634ED8"/>
    <w:rsid w:val="006366FC"/>
    <w:rsid w:val="00663E5A"/>
    <w:rsid w:val="00687EBD"/>
    <w:rsid w:val="006A07E0"/>
    <w:rsid w:val="006D04E6"/>
    <w:rsid w:val="0071231A"/>
    <w:rsid w:val="00725AB7"/>
    <w:rsid w:val="00731909"/>
    <w:rsid w:val="00741D4F"/>
    <w:rsid w:val="00741DE0"/>
    <w:rsid w:val="00764734"/>
    <w:rsid w:val="007A6B67"/>
    <w:rsid w:val="007E752D"/>
    <w:rsid w:val="007F4F16"/>
    <w:rsid w:val="008104C3"/>
    <w:rsid w:val="00813F76"/>
    <w:rsid w:val="00840460"/>
    <w:rsid w:val="0084135F"/>
    <w:rsid w:val="00881EED"/>
    <w:rsid w:val="008931C9"/>
    <w:rsid w:val="008B2147"/>
    <w:rsid w:val="008B3AA4"/>
    <w:rsid w:val="008F72AA"/>
    <w:rsid w:val="00905986"/>
    <w:rsid w:val="00912D70"/>
    <w:rsid w:val="0093448D"/>
    <w:rsid w:val="00943265"/>
    <w:rsid w:val="00955AFB"/>
    <w:rsid w:val="0097171F"/>
    <w:rsid w:val="009766B3"/>
    <w:rsid w:val="009810C0"/>
    <w:rsid w:val="00984BEC"/>
    <w:rsid w:val="009B172D"/>
    <w:rsid w:val="009B5587"/>
    <w:rsid w:val="009C5F64"/>
    <w:rsid w:val="009D593C"/>
    <w:rsid w:val="00A0558B"/>
    <w:rsid w:val="00A43B5C"/>
    <w:rsid w:val="00A72080"/>
    <w:rsid w:val="00A74E04"/>
    <w:rsid w:val="00AD2A6E"/>
    <w:rsid w:val="00AE5555"/>
    <w:rsid w:val="00B06402"/>
    <w:rsid w:val="00B349F3"/>
    <w:rsid w:val="00B41155"/>
    <w:rsid w:val="00BA5E5E"/>
    <w:rsid w:val="00BB68AA"/>
    <w:rsid w:val="00BD5697"/>
    <w:rsid w:val="00BD7026"/>
    <w:rsid w:val="00BE7AD5"/>
    <w:rsid w:val="00C11017"/>
    <w:rsid w:val="00C1511B"/>
    <w:rsid w:val="00C32625"/>
    <w:rsid w:val="00C52CC8"/>
    <w:rsid w:val="00C71DBC"/>
    <w:rsid w:val="00CB3495"/>
    <w:rsid w:val="00CD2F31"/>
    <w:rsid w:val="00D36C6B"/>
    <w:rsid w:val="00D50045"/>
    <w:rsid w:val="00D539C7"/>
    <w:rsid w:val="00D570B1"/>
    <w:rsid w:val="00D839F4"/>
    <w:rsid w:val="00DA4BFB"/>
    <w:rsid w:val="00DB78AA"/>
    <w:rsid w:val="00DB79C0"/>
    <w:rsid w:val="00DC5EFD"/>
    <w:rsid w:val="00DD4692"/>
    <w:rsid w:val="00DE11C2"/>
    <w:rsid w:val="00E04869"/>
    <w:rsid w:val="00E324D4"/>
    <w:rsid w:val="00E57775"/>
    <w:rsid w:val="00E74328"/>
    <w:rsid w:val="00E75636"/>
    <w:rsid w:val="00E8679B"/>
    <w:rsid w:val="00EC5A23"/>
    <w:rsid w:val="00ED4A48"/>
    <w:rsid w:val="00ED537A"/>
    <w:rsid w:val="00F1346D"/>
    <w:rsid w:val="00F20505"/>
    <w:rsid w:val="00F21076"/>
    <w:rsid w:val="00F3309E"/>
    <w:rsid w:val="00F75E23"/>
    <w:rsid w:val="00F75EE6"/>
    <w:rsid w:val="00F85A18"/>
    <w:rsid w:val="00F85EE6"/>
    <w:rsid w:val="00FB42DD"/>
    <w:rsid w:val="00FB4B63"/>
    <w:rsid w:val="00FC0C82"/>
    <w:rsid w:val="00FE6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7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C7F7D"/>
    <w:rPr>
      <w:b/>
      <w:bCs/>
    </w:rPr>
  </w:style>
  <w:style w:type="paragraph" w:customStyle="1" w:styleId="ydp3aa84302msonormal">
    <w:name w:val="ydp3aa84302msonormal"/>
    <w:basedOn w:val="Normal"/>
    <w:rsid w:val="003C7F7D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customStyle="1" w:styleId="ydp83eb7b2amsonormal">
    <w:name w:val="ydp83eb7b2amsonormal"/>
    <w:basedOn w:val="Normal"/>
    <w:rsid w:val="003C7F7D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2069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Paula</cp:lastModifiedBy>
  <cp:revision>2</cp:revision>
  <dcterms:created xsi:type="dcterms:W3CDTF">2018-08-09T16:57:00Z</dcterms:created>
  <dcterms:modified xsi:type="dcterms:W3CDTF">2018-08-09T16:57:00Z</dcterms:modified>
</cp:coreProperties>
</file>