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DEBA"/>
  <w:body>
    <w:p w:rsidR="00636595" w:rsidRPr="00286C3D" w:rsidRDefault="00636595" w:rsidP="00636595">
      <w:pPr>
        <w:jc w:val="right"/>
        <w:rPr>
          <w:i/>
          <w:sz w:val="28"/>
          <w:szCs w:val="28"/>
        </w:rPr>
      </w:pPr>
      <w:r>
        <w:rPr>
          <w:i/>
          <w:sz w:val="28"/>
          <w:szCs w:val="28"/>
        </w:rPr>
        <w:t xml:space="preserve">Primera </w:t>
      </w:r>
      <w:r w:rsidRPr="00286C3D">
        <w:rPr>
          <w:i/>
          <w:sz w:val="28"/>
          <w:szCs w:val="28"/>
        </w:rPr>
        <w:t>Circular</w:t>
      </w:r>
    </w:p>
    <w:p w:rsidR="00636595" w:rsidRDefault="00636595" w:rsidP="00636595">
      <w:pPr>
        <w:jc w:val="center"/>
        <w:rPr>
          <w:b/>
          <w:color w:val="990000"/>
          <w:sz w:val="28"/>
          <w:szCs w:val="28"/>
        </w:rPr>
      </w:pPr>
    </w:p>
    <w:p w:rsidR="004225CA" w:rsidRDefault="004225CA" w:rsidP="00636595">
      <w:pPr>
        <w:jc w:val="center"/>
        <w:rPr>
          <w:b/>
          <w:color w:val="990000"/>
          <w:sz w:val="32"/>
          <w:szCs w:val="32"/>
        </w:rPr>
      </w:pPr>
    </w:p>
    <w:p w:rsidR="00636595" w:rsidRPr="00636595" w:rsidRDefault="00636595" w:rsidP="00636595">
      <w:pPr>
        <w:jc w:val="center"/>
        <w:rPr>
          <w:b/>
          <w:color w:val="990000"/>
          <w:sz w:val="32"/>
          <w:szCs w:val="32"/>
        </w:rPr>
      </w:pPr>
      <w:r w:rsidRPr="00636595">
        <w:rPr>
          <w:b/>
          <w:color w:val="990000"/>
          <w:sz w:val="32"/>
          <w:szCs w:val="32"/>
        </w:rPr>
        <w:t>IX JORNADAS DE ESTUDIOS CLÁSICOS Y MEDIEVALES</w:t>
      </w:r>
    </w:p>
    <w:p w:rsidR="00636595" w:rsidRDefault="00636595" w:rsidP="00636595">
      <w:pPr>
        <w:jc w:val="center"/>
        <w:rPr>
          <w:b/>
          <w:color w:val="990000"/>
          <w:sz w:val="32"/>
          <w:szCs w:val="32"/>
        </w:rPr>
      </w:pPr>
      <w:r w:rsidRPr="00636595">
        <w:rPr>
          <w:b/>
          <w:color w:val="990000"/>
          <w:sz w:val="32"/>
          <w:szCs w:val="32"/>
        </w:rPr>
        <w:t>“DIÁLOGOS CULTURALES”</w:t>
      </w:r>
    </w:p>
    <w:p w:rsidR="00636595" w:rsidRPr="00636595" w:rsidRDefault="00636595" w:rsidP="00636595">
      <w:pPr>
        <w:jc w:val="center"/>
        <w:rPr>
          <w:b/>
          <w:i/>
          <w:color w:val="990000"/>
          <w:sz w:val="32"/>
          <w:szCs w:val="32"/>
        </w:rPr>
      </w:pPr>
    </w:p>
    <w:p w:rsidR="00636595" w:rsidRPr="00636595" w:rsidRDefault="00636595" w:rsidP="00636595">
      <w:pPr>
        <w:jc w:val="center"/>
        <w:rPr>
          <w:b/>
          <w:i/>
          <w:color w:val="990000"/>
          <w:sz w:val="28"/>
          <w:szCs w:val="28"/>
        </w:rPr>
      </w:pPr>
      <w:r w:rsidRPr="00636595">
        <w:rPr>
          <w:b/>
          <w:i/>
          <w:color w:val="990000"/>
          <w:sz w:val="28"/>
          <w:szCs w:val="28"/>
        </w:rPr>
        <w:t>EL TIEMPO EN LA LITERATURA ANTIGUA Y MEDIEVAL: ORÍGENES, CICLOS, EDADES</w:t>
      </w:r>
    </w:p>
    <w:p w:rsidR="00636595" w:rsidRDefault="00636595"/>
    <w:p w:rsidR="00636595" w:rsidRDefault="00636595"/>
    <w:p w:rsidR="00636595" w:rsidRDefault="00636595"/>
    <w:p w:rsidR="00636595" w:rsidRDefault="00636595" w:rsidP="00636595">
      <w:pPr>
        <w:jc w:val="center"/>
      </w:pPr>
      <w:r>
        <w:rPr>
          <w:noProof/>
          <w:lang w:val="es-AR" w:eastAsia="es-AR"/>
        </w:rPr>
        <w:drawing>
          <wp:inline distT="0" distB="0" distL="0" distR="0">
            <wp:extent cx="4981575" cy="3657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ojpraga_2701_630x.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81575" cy="3657600"/>
                    </a:xfrm>
                    <a:prstGeom prst="rect">
                      <a:avLst/>
                    </a:prstGeom>
                  </pic:spPr>
                </pic:pic>
              </a:graphicData>
            </a:graphic>
          </wp:inline>
        </w:drawing>
      </w:r>
    </w:p>
    <w:p w:rsidR="00636595" w:rsidRDefault="00636595" w:rsidP="00636595">
      <w:pPr>
        <w:jc w:val="center"/>
      </w:pPr>
    </w:p>
    <w:p w:rsidR="00636595" w:rsidRDefault="00636595" w:rsidP="00636595">
      <w:pPr>
        <w:jc w:val="center"/>
        <w:rPr>
          <w:b/>
          <w:color w:val="990000"/>
          <w:sz w:val="32"/>
          <w:szCs w:val="32"/>
        </w:rPr>
      </w:pPr>
      <w:r>
        <w:rPr>
          <w:b/>
          <w:color w:val="990000"/>
          <w:sz w:val="32"/>
          <w:szCs w:val="32"/>
        </w:rPr>
        <w:t>28, 29 Y 30 DE AGOSTO DE 2019</w:t>
      </w:r>
    </w:p>
    <w:p w:rsidR="00636595" w:rsidRDefault="00636595" w:rsidP="00636595">
      <w:pPr>
        <w:jc w:val="center"/>
        <w:rPr>
          <w:b/>
          <w:color w:val="990000"/>
          <w:sz w:val="32"/>
          <w:szCs w:val="32"/>
        </w:rPr>
      </w:pPr>
      <w:r>
        <w:rPr>
          <w:b/>
          <w:color w:val="990000"/>
          <w:sz w:val="32"/>
          <w:szCs w:val="32"/>
        </w:rPr>
        <w:t>Universidad Nacional de La Plata</w:t>
      </w:r>
    </w:p>
    <w:p w:rsidR="00636595" w:rsidRDefault="00636595" w:rsidP="00636595">
      <w:pPr>
        <w:rPr>
          <w:b/>
          <w:color w:val="990000"/>
          <w:sz w:val="32"/>
          <w:szCs w:val="32"/>
        </w:rPr>
      </w:pPr>
      <w:r w:rsidRPr="00636595">
        <w:rPr>
          <w:b/>
          <w:color w:val="990000"/>
          <w:sz w:val="32"/>
          <w:szCs w:val="32"/>
        </w:rPr>
        <w:t xml:space="preserve"> </w:t>
      </w:r>
    </w:p>
    <w:p w:rsidR="004225CA" w:rsidRPr="00636595" w:rsidRDefault="004225CA" w:rsidP="00636595">
      <w:pPr>
        <w:rPr>
          <w:b/>
          <w:color w:val="990000"/>
          <w:sz w:val="32"/>
          <w:szCs w:val="32"/>
        </w:rPr>
      </w:pPr>
    </w:p>
    <w:p w:rsidR="00465D14" w:rsidRDefault="00465D14" w:rsidP="00465D14">
      <w:pPr>
        <w:jc w:val="both"/>
      </w:pPr>
      <w:r>
        <w:t xml:space="preserve">   Las </w:t>
      </w:r>
      <w:r>
        <w:rPr>
          <w:i/>
        </w:rPr>
        <w:t>IX</w:t>
      </w:r>
      <w:r w:rsidRPr="00B80B43">
        <w:rPr>
          <w:i/>
        </w:rPr>
        <w:t xml:space="preserve"> Jornadas</w:t>
      </w:r>
      <w:r>
        <w:rPr>
          <w:i/>
        </w:rPr>
        <w:t xml:space="preserve"> de Estudios Clásicos y Medievales</w:t>
      </w:r>
      <w:r>
        <w:t xml:space="preserve"> están o</w:t>
      </w:r>
      <w:r w:rsidRPr="00123F07">
        <w:t>rganiza</w:t>
      </w:r>
      <w:r>
        <w:t>das por</w:t>
      </w:r>
      <w:r w:rsidRPr="00123F07">
        <w:t xml:space="preserve"> el </w:t>
      </w:r>
      <w:smartTag w:uri="urn:schemas-microsoft-com:office:smarttags" w:element="PersonName">
        <w:smartTagPr>
          <w:attr w:name="ProductID" w:val="Centro de Estudios Latinos"/>
        </w:smartTagPr>
        <w:r w:rsidRPr="00123F07">
          <w:t>Centro de Estudios Latinos</w:t>
        </w:r>
      </w:smartTag>
      <w:r w:rsidRPr="00123F07">
        <w:t>, en colaboración con la cátedra de Literatura Española Medieval</w:t>
      </w:r>
      <w:r>
        <w:t>,</w:t>
      </w:r>
      <w:r w:rsidRPr="00123F07">
        <w:t xml:space="preserve"> </w:t>
      </w:r>
      <w:r>
        <w:t xml:space="preserve">integrado al IdIHCS (Instituto de Investigaciones en Humanidades y Ciencias Sociales – </w:t>
      </w:r>
      <w:r w:rsidRPr="00123F07">
        <w:t>UNLP</w:t>
      </w:r>
      <w:r>
        <w:t>/ Conicet</w:t>
      </w:r>
      <w:r w:rsidRPr="00123F07">
        <w:t xml:space="preserve">), con el auspicio de las Secretarías de Posgrado y de Investigación de </w:t>
      </w:r>
      <w:smartTag w:uri="urn:schemas-microsoft-com:office:smarttags" w:element="PersonName">
        <w:smartTagPr>
          <w:attr w:name="ProductID" w:val="la Facultad"/>
        </w:smartTagPr>
        <w:r w:rsidRPr="00123F07">
          <w:t>la Facultad</w:t>
        </w:r>
      </w:smartTag>
      <w:r w:rsidRPr="00123F07">
        <w:t xml:space="preserve"> de Humanidades y Ciencias de </w:t>
      </w:r>
      <w:smartTag w:uri="urn:schemas-microsoft-com:office:smarttags" w:element="PersonName">
        <w:smartTagPr>
          <w:attr w:name="ProductID" w:val="la Educaci￳n"/>
        </w:smartTagPr>
        <w:r w:rsidRPr="00123F07">
          <w:t>la Educación</w:t>
        </w:r>
      </w:smartTag>
      <w:r w:rsidRPr="00123F07">
        <w:t>, Universidad Nacional de La Plata</w:t>
      </w:r>
      <w:r>
        <w:t>.</w:t>
      </w:r>
    </w:p>
    <w:p w:rsidR="00465D14" w:rsidRPr="007D72B0" w:rsidRDefault="00465D14" w:rsidP="00465D14">
      <w:pPr>
        <w:jc w:val="both"/>
        <w:rPr>
          <w:lang w:val="es-AR"/>
        </w:rPr>
      </w:pPr>
    </w:p>
    <w:p w:rsidR="00465D14" w:rsidRDefault="00465D14" w:rsidP="00465D14">
      <w:pPr>
        <w:jc w:val="both"/>
      </w:pPr>
    </w:p>
    <w:p w:rsidR="00465D14" w:rsidRDefault="00465D14" w:rsidP="00465D14">
      <w:pPr>
        <w:jc w:val="both"/>
      </w:pPr>
    </w:p>
    <w:p w:rsidR="00465D14" w:rsidRPr="00B71F9D" w:rsidRDefault="00465D14" w:rsidP="00465D14">
      <w:pPr>
        <w:rPr>
          <w:b/>
          <w:smallCaps/>
          <w:color w:val="990000"/>
          <w:sz w:val="28"/>
          <w:szCs w:val="28"/>
        </w:rPr>
      </w:pPr>
      <w:r w:rsidRPr="00B71F9D">
        <w:rPr>
          <w:b/>
          <w:smallCaps/>
          <w:color w:val="990000"/>
          <w:sz w:val="28"/>
          <w:szCs w:val="28"/>
        </w:rPr>
        <w:lastRenderedPageBreak/>
        <w:t>1. Presentación</w:t>
      </w:r>
    </w:p>
    <w:p w:rsidR="00465D14" w:rsidRDefault="00465D14" w:rsidP="00465D14">
      <w:r>
        <w:t xml:space="preserve"> </w:t>
      </w:r>
    </w:p>
    <w:p w:rsidR="00465D14" w:rsidRDefault="00465D14" w:rsidP="00465D14">
      <w:pPr>
        <w:jc w:val="both"/>
      </w:pPr>
      <w:r>
        <w:t xml:space="preserve">  </w:t>
      </w:r>
      <w:r>
        <w:tab/>
        <w:t xml:space="preserve"> El estudio del pasado tiene en América, y en especial en Argentina, la particular condición de remitir a la compleja y larga historia de otro continente que necesariamente adoptamos como parte fundamental de nuestra cultura. Del castellano al latín y las lenguas que de él surgen, circulamos en una cultura heterogénea y peregrina, cuyas raíces se alejan del espacio que aceptamos como originario para hundirse en otros continentes. Así, la cultura es el diálogo incesante que se construye en movimiento, donde se aceptan, se amplían, se reformulan, se discuten, se rechazan o se corrigen ideas, conocimientos, creencias, emociones, experiencias, presentes desde el pasado y sin cortes, al modo de un </w:t>
      </w:r>
      <w:proofErr w:type="spellStart"/>
      <w:r w:rsidRPr="0027008E">
        <w:rPr>
          <w:i/>
        </w:rPr>
        <w:t>carmen</w:t>
      </w:r>
      <w:proofErr w:type="spellEnd"/>
      <w:r w:rsidRPr="0027008E">
        <w:rPr>
          <w:i/>
        </w:rPr>
        <w:t xml:space="preserve"> </w:t>
      </w:r>
      <w:proofErr w:type="spellStart"/>
      <w:r w:rsidRPr="0027008E">
        <w:rPr>
          <w:i/>
        </w:rPr>
        <w:t>perpetuum</w:t>
      </w:r>
      <w:proofErr w:type="spellEnd"/>
      <w:r>
        <w:t xml:space="preserve">. Esta reunión intenta, como en ocasiones anteriores, presentar aspectos de este diálogo en la dinámica de la transmisión, tomando como eje </w:t>
      </w:r>
      <w:smartTag w:uri="urn:schemas-microsoft-com:office:smarttags" w:element="PersonName">
        <w:smartTagPr>
          <w:attr w:name="ProductID" w:val="la Latinidad"/>
        </w:smartTagPr>
        <w:r>
          <w:t>la Latinidad</w:t>
        </w:r>
      </w:smartTag>
      <w:r>
        <w:t xml:space="preserve"> en sus distintos momentos y realizaciones.</w:t>
      </w:r>
    </w:p>
    <w:p w:rsidR="00465D14" w:rsidRDefault="00465D14" w:rsidP="00465D14">
      <w:pPr>
        <w:ind w:firstLine="708"/>
        <w:jc w:val="both"/>
      </w:pPr>
      <w:r>
        <w:t>El tiempo, su naturaleza y características, sus manifestaciones y su percepción en la vida humana, es un centro de insoslayable atención en todas las civilizaciones de Oriente y Occidente, desde la más remota antigüedad hasta nuestros días. Tema medular de religiones y filosofías, punto de partida y organizador de la historia, sustento del orden social expresado en calendarios, la reflexión sobre el tiempo y las problemáticas que suscita se encuentran en todas las épocas provocando respuestas en los más diversos campos de la actividad humana. En este inmenso y fértil territorio de análisis e interpretación, resultan de fundamental importancia los testimonios del pasado. La riqueza del tema, sus innumerables posibilidades de acceso y el ineludible interés que siempre tiene, ha guiado nuestra elección  confiando en que sea un pingüe terreno de indagación y estudio.</w:t>
      </w:r>
    </w:p>
    <w:p w:rsidR="00465D14" w:rsidRDefault="00465D14" w:rsidP="00465D14">
      <w:pPr>
        <w:ind w:firstLine="708"/>
        <w:jc w:val="both"/>
      </w:pPr>
      <w:r>
        <w:t>Como en anteriores reuniones, no se trata de un temario excluyente sino que se considerarán aportes que contribuyan al esperado diálogo.</w:t>
      </w:r>
    </w:p>
    <w:p w:rsidR="00465D14" w:rsidRDefault="00465D14" w:rsidP="00465D14">
      <w:pPr>
        <w:ind w:firstLine="708"/>
        <w:jc w:val="both"/>
      </w:pPr>
    </w:p>
    <w:p w:rsidR="00465D14" w:rsidRPr="00B71F9D" w:rsidRDefault="00465D14" w:rsidP="00465D14">
      <w:pPr>
        <w:rPr>
          <w:b/>
          <w:smallCaps/>
          <w:color w:val="990000"/>
          <w:sz w:val="28"/>
          <w:szCs w:val="28"/>
        </w:rPr>
      </w:pPr>
      <w:r w:rsidRPr="00B71F9D">
        <w:rPr>
          <w:b/>
          <w:smallCaps/>
          <w:color w:val="990000"/>
          <w:sz w:val="28"/>
          <w:szCs w:val="28"/>
        </w:rPr>
        <w:t>2. Temario general</w:t>
      </w:r>
    </w:p>
    <w:p w:rsidR="00465D14" w:rsidRPr="002D41F9" w:rsidRDefault="00465D14" w:rsidP="00465D14">
      <w:pPr>
        <w:rPr>
          <w:b/>
          <w:smallCaps/>
        </w:rPr>
      </w:pPr>
    </w:p>
    <w:p w:rsidR="00465D14" w:rsidRDefault="00465D14" w:rsidP="00465D14">
      <w:pPr>
        <w:rPr>
          <w:color w:val="701500"/>
        </w:rPr>
      </w:pPr>
      <w:r w:rsidRPr="00B71F9D">
        <w:rPr>
          <w:b/>
          <w:color w:val="701500"/>
        </w:rPr>
        <w:t xml:space="preserve">a. </w:t>
      </w:r>
      <w:r>
        <w:rPr>
          <w:b/>
          <w:i/>
          <w:color w:val="701500"/>
        </w:rPr>
        <w:t xml:space="preserve">El tiempo </w:t>
      </w:r>
      <w:r w:rsidRPr="00B71F9D">
        <w:rPr>
          <w:b/>
          <w:i/>
          <w:color w:val="701500"/>
        </w:rPr>
        <w:t xml:space="preserve">en </w:t>
      </w:r>
      <w:smartTag w:uri="urn:schemas-microsoft-com:office:smarttags" w:element="PersonName">
        <w:smartTagPr>
          <w:attr w:name="ProductID" w:val="la Antig￼edad"/>
        </w:smartTagPr>
        <w:r w:rsidRPr="00B71F9D">
          <w:rPr>
            <w:b/>
            <w:i/>
            <w:color w:val="701500"/>
          </w:rPr>
          <w:t>la Antigüedad</w:t>
        </w:r>
      </w:smartTag>
      <w:r w:rsidRPr="00B71F9D">
        <w:rPr>
          <w:b/>
          <w:i/>
          <w:color w:val="701500"/>
        </w:rPr>
        <w:t xml:space="preserve"> y el Medioevo: </w:t>
      </w:r>
      <w:r>
        <w:rPr>
          <w:b/>
          <w:i/>
          <w:color w:val="701500"/>
        </w:rPr>
        <w:t>orígenes, ciclos, edades</w:t>
      </w:r>
      <w:r w:rsidRPr="00B71F9D">
        <w:rPr>
          <w:color w:val="701500"/>
        </w:rPr>
        <w:t xml:space="preserve"> </w:t>
      </w:r>
    </w:p>
    <w:p w:rsidR="00465D14" w:rsidRPr="00B71F9D" w:rsidRDefault="00465D14" w:rsidP="00465D14">
      <w:pPr>
        <w:rPr>
          <w:color w:val="701500"/>
        </w:rPr>
      </w:pPr>
      <w:r w:rsidRPr="00B71F9D">
        <w:rPr>
          <w:color w:val="701500"/>
        </w:rPr>
        <w:t xml:space="preserve">      </w:t>
      </w:r>
      <w:r>
        <w:rPr>
          <w:color w:val="701500"/>
        </w:rPr>
        <w:t xml:space="preserve">  </w:t>
      </w:r>
      <w:r w:rsidRPr="00B71F9D">
        <w:rPr>
          <w:color w:val="701500"/>
        </w:rPr>
        <w:t xml:space="preserve">                    </w:t>
      </w:r>
    </w:p>
    <w:p w:rsidR="00465D14" w:rsidRPr="00B71F9D" w:rsidRDefault="00465D14" w:rsidP="00465D14">
      <w:pPr>
        <w:rPr>
          <w:b/>
          <w:color w:val="701500"/>
        </w:rPr>
      </w:pPr>
      <w:r w:rsidRPr="00B71F9D">
        <w:rPr>
          <w:b/>
          <w:color w:val="701500"/>
        </w:rPr>
        <w:t xml:space="preserve">b. </w:t>
      </w:r>
      <w:r w:rsidRPr="00B71F9D">
        <w:rPr>
          <w:b/>
          <w:i/>
          <w:color w:val="701500"/>
        </w:rPr>
        <w:t>Otros</w:t>
      </w:r>
      <w:r w:rsidRPr="00B71F9D">
        <w:rPr>
          <w:b/>
          <w:color w:val="701500"/>
        </w:rPr>
        <w:t>:</w:t>
      </w:r>
    </w:p>
    <w:p w:rsidR="00465D14" w:rsidRDefault="00465D14" w:rsidP="00465D14">
      <w:pPr>
        <w:rPr>
          <w:b/>
          <w:color w:val="701500"/>
        </w:rPr>
      </w:pPr>
      <w:r w:rsidRPr="00B71F9D">
        <w:rPr>
          <w:b/>
          <w:color w:val="701500"/>
        </w:rPr>
        <w:t>-</w:t>
      </w:r>
      <w:r>
        <w:rPr>
          <w:b/>
          <w:color w:val="701500"/>
        </w:rPr>
        <w:t xml:space="preserve"> De Grecia a Roma</w:t>
      </w:r>
      <w:r w:rsidRPr="00B71F9D">
        <w:rPr>
          <w:b/>
          <w:color w:val="701500"/>
        </w:rPr>
        <w:t xml:space="preserve"> </w:t>
      </w:r>
    </w:p>
    <w:p w:rsidR="00465D14" w:rsidRDefault="00465D14" w:rsidP="00465D14">
      <w:pPr>
        <w:rPr>
          <w:b/>
          <w:color w:val="701500"/>
        </w:rPr>
      </w:pPr>
      <w:r w:rsidRPr="00B71F9D">
        <w:rPr>
          <w:b/>
          <w:color w:val="701500"/>
        </w:rPr>
        <w:t>- Proyecciones de la cultura griega</w:t>
      </w:r>
      <w:r>
        <w:rPr>
          <w:b/>
          <w:color w:val="701500"/>
        </w:rPr>
        <w:t xml:space="preserve"> en el Mediterráneo</w:t>
      </w:r>
    </w:p>
    <w:p w:rsidR="00465D14" w:rsidRPr="00B71F9D" w:rsidRDefault="00465D14" w:rsidP="00465D14">
      <w:pPr>
        <w:rPr>
          <w:b/>
          <w:color w:val="701500"/>
        </w:rPr>
      </w:pPr>
      <w:r>
        <w:rPr>
          <w:b/>
          <w:color w:val="701500"/>
        </w:rPr>
        <w:t xml:space="preserve">- </w:t>
      </w:r>
      <w:r w:rsidRPr="00B71F9D">
        <w:rPr>
          <w:b/>
          <w:color w:val="701500"/>
        </w:rPr>
        <w:t xml:space="preserve">La cultura romana (literatura, filosofía, historia, arte, etc.) </w:t>
      </w:r>
    </w:p>
    <w:p w:rsidR="00465D14" w:rsidRDefault="00465D14" w:rsidP="00465D14">
      <w:pPr>
        <w:rPr>
          <w:b/>
          <w:color w:val="701500"/>
        </w:rPr>
      </w:pPr>
      <w:r>
        <w:rPr>
          <w:b/>
          <w:color w:val="701500"/>
        </w:rPr>
        <w:t>- Diálogos entre Oriente y Occidente</w:t>
      </w:r>
    </w:p>
    <w:p w:rsidR="00465D14" w:rsidRPr="00B71F9D" w:rsidRDefault="00465D14" w:rsidP="00465D14">
      <w:pPr>
        <w:rPr>
          <w:b/>
          <w:color w:val="701500"/>
        </w:rPr>
      </w:pPr>
      <w:r w:rsidRPr="00B71F9D">
        <w:rPr>
          <w:b/>
          <w:color w:val="701500"/>
        </w:rPr>
        <w:t>- Diálogos intertextuales en la literatura latina</w:t>
      </w:r>
    </w:p>
    <w:p w:rsidR="00465D14" w:rsidRPr="00B71F9D" w:rsidRDefault="00465D14" w:rsidP="00465D14">
      <w:pPr>
        <w:rPr>
          <w:b/>
          <w:color w:val="701500"/>
        </w:rPr>
      </w:pPr>
      <w:r w:rsidRPr="00B71F9D">
        <w:rPr>
          <w:b/>
          <w:color w:val="701500"/>
        </w:rPr>
        <w:t>- La literatura española y su diálogo con la antigüedad clásica</w:t>
      </w:r>
    </w:p>
    <w:p w:rsidR="00465D14" w:rsidRPr="00B71F9D" w:rsidRDefault="00465D14" w:rsidP="00465D14">
      <w:pPr>
        <w:rPr>
          <w:b/>
          <w:color w:val="701500"/>
        </w:rPr>
      </w:pPr>
      <w:r w:rsidRPr="00B71F9D">
        <w:rPr>
          <w:b/>
          <w:color w:val="701500"/>
        </w:rPr>
        <w:t>- Los textos medievales y su diálogo con la antigüedad clásica</w:t>
      </w:r>
    </w:p>
    <w:p w:rsidR="00465D14" w:rsidRDefault="00465D14" w:rsidP="00465D14">
      <w:pPr>
        <w:rPr>
          <w:b/>
          <w:color w:val="701500"/>
        </w:rPr>
      </w:pPr>
      <w:r>
        <w:rPr>
          <w:b/>
          <w:color w:val="701500"/>
        </w:rPr>
        <w:t>- Arte griego y romano</w:t>
      </w:r>
    </w:p>
    <w:p w:rsidR="00465D14" w:rsidRPr="00B71F9D" w:rsidRDefault="00465D14" w:rsidP="00465D14">
      <w:pPr>
        <w:rPr>
          <w:b/>
          <w:color w:val="701500"/>
        </w:rPr>
      </w:pPr>
      <w:r w:rsidRPr="00B71F9D">
        <w:rPr>
          <w:b/>
          <w:color w:val="701500"/>
        </w:rPr>
        <w:t>- El arte medieval y sus relaciones con el pasado romano</w:t>
      </w:r>
    </w:p>
    <w:p w:rsidR="00465D14" w:rsidRDefault="00465D14" w:rsidP="00465D14">
      <w:r w:rsidRPr="00B71F9D">
        <w:rPr>
          <w:b/>
          <w:color w:val="701500"/>
        </w:rPr>
        <w:t>- El pasado y el presente: la tradición clásica en la literatura europea y americana</w:t>
      </w:r>
      <w:r w:rsidRPr="00B71F9D">
        <w:rPr>
          <w:rFonts w:ascii="MS Mincho" w:eastAsia="MS Mincho" w:hAnsi="MS Mincho" w:cs="MS Mincho" w:hint="eastAsia"/>
          <w:b/>
          <w:color w:val="701500"/>
        </w:rPr>
        <w:t>   </w:t>
      </w:r>
      <w:r w:rsidRPr="00B71F9D">
        <w:rPr>
          <w:rFonts w:ascii="MS Mincho" w:eastAsia="MS Mincho" w:hAnsi="MS Mincho" w:cs="MS Mincho" w:hint="eastAsia"/>
          <w:color w:val="701500"/>
        </w:rPr>
        <w:t> </w:t>
      </w:r>
      <w:r>
        <w:rPr>
          <w:rFonts w:ascii="MS Mincho" w:eastAsia="MS Mincho" w:hAnsi="MS Mincho" w:cs="MS Mincho" w:hint="eastAsia"/>
        </w:rPr>
        <w:t> </w:t>
      </w:r>
    </w:p>
    <w:p w:rsidR="00465D14" w:rsidRDefault="00465D14" w:rsidP="00465D14">
      <w:r>
        <w:t xml:space="preserve"> </w:t>
      </w:r>
    </w:p>
    <w:p w:rsidR="00465D14" w:rsidRDefault="00465D14" w:rsidP="00465D14">
      <w:pPr>
        <w:jc w:val="both"/>
      </w:pPr>
      <w:r>
        <w:t xml:space="preserve">El encuentro, como en las ocho ocasiones anteriores, convoca a los estudiosos de la cultura antigua y medieval, en sus diversas manifestaciones y en sus variadas formas de interrelación. La convocatoria incluye, asimismo, a investigadores de otras áreas interesados en el estudio de las conexiones culturales entre lo antiguo y lo moderno, en sus múltiples aspectos. Destinamos, además, un espacio para estudiantes de la especialidad para propiciar la difusión de sus trabajos. De este modo, renovamos un espacio de comunicación entre los estudios de las producciones </w:t>
      </w:r>
      <w:r>
        <w:lastRenderedPageBreak/>
        <w:t>culturales griegas, latinas y medievales, y las manifestaciones posteriores que las refieren, con esta propuesta de fértil diálogo científico entre investigadores de áreas afines.</w:t>
      </w:r>
    </w:p>
    <w:p w:rsidR="00465D14" w:rsidRDefault="00465D14" w:rsidP="00465D14">
      <w:pPr>
        <w:jc w:val="both"/>
      </w:pPr>
    </w:p>
    <w:p w:rsidR="00897429" w:rsidRDefault="00897429" w:rsidP="00465D14">
      <w:pPr>
        <w:jc w:val="both"/>
        <w:rPr>
          <w:b/>
          <w:smallCaps/>
          <w:color w:val="990000"/>
          <w:sz w:val="28"/>
          <w:szCs w:val="28"/>
        </w:rPr>
      </w:pPr>
    </w:p>
    <w:p w:rsidR="00465D14" w:rsidRPr="00B71F9D" w:rsidRDefault="00465D14" w:rsidP="00465D14">
      <w:pPr>
        <w:jc w:val="both"/>
        <w:rPr>
          <w:color w:val="990000"/>
          <w:sz w:val="28"/>
          <w:szCs w:val="28"/>
        </w:rPr>
      </w:pPr>
      <w:bookmarkStart w:id="0" w:name="_GoBack"/>
      <w:bookmarkEnd w:id="0"/>
      <w:r w:rsidRPr="00B71F9D">
        <w:rPr>
          <w:b/>
          <w:smallCaps/>
          <w:color w:val="990000"/>
          <w:sz w:val="28"/>
          <w:szCs w:val="28"/>
        </w:rPr>
        <w:t xml:space="preserve">3. Aspectos de </w:t>
      </w:r>
      <w:smartTag w:uri="urn:schemas-microsoft-com:office:smarttags" w:element="PersonName">
        <w:smartTagPr>
          <w:attr w:name="ProductID" w:val="LA ORGANIZACIￓN"/>
        </w:smartTagPr>
        <w:r w:rsidRPr="00B71F9D">
          <w:rPr>
            <w:b/>
            <w:smallCaps/>
            <w:color w:val="990000"/>
            <w:sz w:val="28"/>
            <w:szCs w:val="28"/>
          </w:rPr>
          <w:t>la organización</w:t>
        </w:r>
      </w:smartTag>
    </w:p>
    <w:p w:rsidR="00465D14" w:rsidRDefault="00465D14" w:rsidP="00465D14">
      <w:pPr>
        <w:jc w:val="both"/>
        <w:rPr>
          <w:b/>
        </w:rPr>
      </w:pPr>
    </w:p>
    <w:p w:rsidR="00465D14" w:rsidRDefault="00465D14" w:rsidP="00465D14">
      <w:pPr>
        <w:jc w:val="both"/>
      </w:pPr>
      <w:r>
        <w:t xml:space="preserve">El programa de las Jornadas incluye diversos tipos de exposiciones: </w:t>
      </w:r>
    </w:p>
    <w:p w:rsidR="00465D14" w:rsidRDefault="00465D14" w:rsidP="00465D14">
      <w:pPr>
        <w:jc w:val="both"/>
      </w:pPr>
    </w:p>
    <w:p w:rsidR="00465D14" w:rsidRPr="00AA7D7B" w:rsidRDefault="00465D14" w:rsidP="00465D14">
      <w:pPr>
        <w:numPr>
          <w:ilvl w:val="0"/>
          <w:numId w:val="1"/>
        </w:numPr>
        <w:jc w:val="both"/>
        <w:rPr>
          <w:b/>
        </w:rPr>
      </w:pPr>
      <w:r w:rsidRPr="00AA7D7B">
        <w:rPr>
          <w:b/>
        </w:rPr>
        <w:t>Conferencias, cursos y paneles (expositores invitados)</w:t>
      </w:r>
    </w:p>
    <w:p w:rsidR="00465D14" w:rsidRPr="00AA7D7B" w:rsidRDefault="00465D14" w:rsidP="00465D14">
      <w:pPr>
        <w:ind w:left="360"/>
        <w:jc w:val="both"/>
        <w:rPr>
          <w:b/>
        </w:rPr>
      </w:pPr>
    </w:p>
    <w:p w:rsidR="00465D14" w:rsidRPr="00AA7D7B" w:rsidRDefault="00465D14" w:rsidP="00465D14">
      <w:pPr>
        <w:numPr>
          <w:ilvl w:val="0"/>
          <w:numId w:val="1"/>
        </w:numPr>
        <w:jc w:val="both"/>
        <w:rPr>
          <w:b/>
        </w:rPr>
      </w:pPr>
      <w:r>
        <w:rPr>
          <w:b/>
        </w:rPr>
        <w:t xml:space="preserve">1. </w:t>
      </w:r>
      <w:r w:rsidRPr="00AA7D7B">
        <w:rPr>
          <w:b/>
        </w:rPr>
        <w:t xml:space="preserve">Comisiones de lectura de comunicaciones y </w:t>
      </w:r>
      <w:r>
        <w:rPr>
          <w:b/>
        </w:rPr>
        <w:t xml:space="preserve">2. </w:t>
      </w:r>
      <w:r w:rsidRPr="00AA7D7B">
        <w:rPr>
          <w:b/>
        </w:rPr>
        <w:t>Foros de investigación (convocatoria</w:t>
      </w:r>
      <w:r>
        <w:rPr>
          <w:b/>
        </w:rPr>
        <w:t>s</w:t>
      </w:r>
      <w:r w:rsidRPr="00AA7D7B">
        <w:rPr>
          <w:b/>
        </w:rPr>
        <w:t xml:space="preserve"> abierta</w:t>
      </w:r>
      <w:r>
        <w:rPr>
          <w:b/>
        </w:rPr>
        <w:t>s</w:t>
      </w:r>
      <w:r w:rsidRPr="00AA7D7B">
        <w:rPr>
          <w:b/>
        </w:rPr>
        <w:t>)</w:t>
      </w:r>
    </w:p>
    <w:p w:rsidR="00465D14" w:rsidRDefault="00465D14" w:rsidP="00465D14">
      <w:pPr>
        <w:jc w:val="both"/>
      </w:pPr>
    </w:p>
    <w:p w:rsidR="00465D14" w:rsidRDefault="00465D14" w:rsidP="00465D14">
      <w:pPr>
        <w:jc w:val="both"/>
        <w:rPr>
          <w:b/>
        </w:rPr>
      </w:pPr>
      <w:r>
        <w:rPr>
          <w:b/>
        </w:rPr>
        <w:t>b.1. Comisiones</w:t>
      </w:r>
      <w:r w:rsidRPr="00AA7D7B">
        <w:rPr>
          <w:b/>
        </w:rPr>
        <w:t xml:space="preserve"> de lectura de Comunicaciones:</w:t>
      </w:r>
    </w:p>
    <w:p w:rsidR="00465D14" w:rsidRPr="00AA7D7B" w:rsidRDefault="00465D14" w:rsidP="00465D14">
      <w:pPr>
        <w:jc w:val="both"/>
        <w:rPr>
          <w:b/>
        </w:rPr>
      </w:pPr>
    </w:p>
    <w:p w:rsidR="00465D14" w:rsidRDefault="00465D14" w:rsidP="00465D14">
      <w:pPr>
        <w:jc w:val="both"/>
      </w:pPr>
      <w:r>
        <w:t xml:space="preserve">Las comunicaciones deberán tener una extensión de 8 (ocho) carillas máximo; la página final incluirá las notas (notas al final) y la bibliografía, en formato A4, a espacio y medio en tipo Times New </w:t>
      </w:r>
      <w:proofErr w:type="spellStart"/>
      <w:r>
        <w:t>Roman</w:t>
      </w:r>
      <w:proofErr w:type="spellEnd"/>
      <w:r>
        <w:t xml:space="preserve"> 12 (Times New </w:t>
      </w:r>
      <w:proofErr w:type="spellStart"/>
      <w:r>
        <w:t>Roman</w:t>
      </w:r>
      <w:proofErr w:type="spellEnd"/>
      <w:r>
        <w:t xml:space="preserve"> 10 en notas). Esto significa que el cuerpo del trabajo se ajustará a las 7 (siete) carillas, reservándose la página 8 para los datos restantes. En consecuencia, cada expositor dispondrá de 15 (quince) minutos de exposición y entre 5 (cinco) y 10 (diez) minutos para la discusión de lo expuesto, al cabo de la sesión correspondiente.</w:t>
      </w:r>
    </w:p>
    <w:p w:rsidR="00465D14" w:rsidRDefault="00465D14" w:rsidP="00465D14">
      <w:pPr>
        <w:jc w:val="both"/>
      </w:pPr>
    </w:p>
    <w:p w:rsidR="00465D14" w:rsidRDefault="00465D14" w:rsidP="00465D14">
      <w:pPr>
        <w:jc w:val="both"/>
      </w:pPr>
      <w:r>
        <w:rPr>
          <w:b/>
        </w:rPr>
        <w:t xml:space="preserve"> b.2. </w:t>
      </w:r>
      <w:r w:rsidRPr="00AA7D7B">
        <w:rPr>
          <w:b/>
        </w:rPr>
        <w:t>Foros de investigación</w:t>
      </w:r>
    </w:p>
    <w:p w:rsidR="00465D14" w:rsidRDefault="00465D14" w:rsidP="00465D14">
      <w:pPr>
        <w:jc w:val="both"/>
      </w:pPr>
    </w:p>
    <w:p w:rsidR="00465D14" w:rsidRDefault="00465D14" w:rsidP="00465D14">
      <w:pPr>
        <w:jc w:val="both"/>
      </w:pPr>
      <w:r>
        <w:t>Exposición de proyectos de investigación institucionalmente acreditados, en sus dos modalidades:</w:t>
      </w:r>
    </w:p>
    <w:p w:rsidR="00465D14" w:rsidRDefault="00465D14" w:rsidP="00465D14">
      <w:pPr>
        <w:jc w:val="both"/>
      </w:pPr>
    </w:p>
    <w:p w:rsidR="00465D14" w:rsidRPr="00B56FDF" w:rsidRDefault="00465D14" w:rsidP="00465D14">
      <w:pPr>
        <w:numPr>
          <w:ilvl w:val="0"/>
          <w:numId w:val="2"/>
        </w:numPr>
        <w:jc w:val="both"/>
        <w:rPr>
          <w:b/>
        </w:rPr>
      </w:pPr>
      <w:r w:rsidRPr="00B56FDF">
        <w:rPr>
          <w:b/>
        </w:rPr>
        <w:t>Proyectos colectivos</w:t>
      </w:r>
    </w:p>
    <w:p w:rsidR="00465D14" w:rsidRDefault="00465D14" w:rsidP="00465D14">
      <w:pPr>
        <w:jc w:val="both"/>
      </w:pPr>
    </w:p>
    <w:p w:rsidR="00465D14" w:rsidRDefault="00465D14" w:rsidP="00465D14">
      <w:pPr>
        <w:jc w:val="both"/>
      </w:pPr>
      <w:r>
        <w:t xml:space="preserve">La exposición estará a cargo del director, </w:t>
      </w:r>
      <w:proofErr w:type="spellStart"/>
      <w:r>
        <w:t>co</w:t>
      </w:r>
      <w:proofErr w:type="spellEnd"/>
      <w:r>
        <w:t>-director o investigador responsable del Proyecto, quien presentará:</w:t>
      </w:r>
    </w:p>
    <w:p w:rsidR="00465D14" w:rsidRDefault="00465D14" w:rsidP="00465D14">
      <w:pPr>
        <w:numPr>
          <w:ilvl w:val="0"/>
          <w:numId w:val="3"/>
        </w:numPr>
        <w:jc w:val="both"/>
      </w:pPr>
      <w:r>
        <w:t>Fundamentos e hipótesis de la investigación</w:t>
      </w:r>
    </w:p>
    <w:p w:rsidR="00465D14" w:rsidRDefault="00465D14" w:rsidP="00465D14">
      <w:pPr>
        <w:numPr>
          <w:ilvl w:val="0"/>
          <w:numId w:val="3"/>
        </w:numPr>
        <w:jc w:val="both"/>
      </w:pPr>
      <w:r>
        <w:t>Originalidad y aportes</w:t>
      </w:r>
    </w:p>
    <w:p w:rsidR="00465D14" w:rsidRDefault="00465D14" w:rsidP="00465D14">
      <w:pPr>
        <w:numPr>
          <w:ilvl w:val="0"/>
          <w:numId w:val="3"/>
        </w:numPr>
        <w:jc w:val="both"/>
      </w:pPr>
      <w:r>
        <w:t>Resultados alcanzados y proyecciones de la investigación</w:t>
      </w:r>
    </w:p>
    <w:p w:rsidR="00465D14" w:rsidRDefault="00465D14" w:rsidP="00465D14">
      <w:pPr>
        <w:numPr>
          <w:ilvl w:val="0"/>
          <w:numId w:val="3"/>
        </w:numPr>
        <w:jc w:val="both"/>
      </w:pPr>
      <w:r>
        <w:t>Fuentes de financiación y recursos</w:t>
      </w:r>
    </w:p>
    <w:p w:rsidR="00465D14" w:rsidRDefault="00465D14" w:rsidP="00465D14">
      <w:pPr>
        <w:jc w:val="both"/>
      </w:pPr>
      <w:r>
        <w:t>Los miembros integrantes del Proyecto podrán realizar breves exposiciones dentro del límite de tiempo prefijado.</w:t>
      </w:r>
    </w:p>
    <w:p w:rsidR="00465D14" w:rsidRDefault="00465D14" w:rsidP="00465D14">
      <w:pPr>
        <w:jc w:val="both"/>
      </w:pPr>
      <w:r w:rsidRPr="007D1D3E">
        <w:rPr>
          <w:smallCaps/>
        </w:rPr>
        <w:t>Tiempo de exposición</w:t>
      </w:r>
      <w:r>
        <w:t>: 20 (veinte) minutos</w:t>
      </w:r>
    </w:p>
    <w:p w:rsidR="00465D14" w:rsidRDefault="00465D14" w:rsidP="00465D14">
      <w:pPr>
        <w:jc w:val="both"/>
      </w:pPr>
      <w:r>
        <w:t xml:space="preserve"> </w:t>
      </w:r>
    </w:p>
    <w:p w:rsidR="00465D14" w:rsidRPr="00C23896" w:rsidRDefault="00465D14" w:rsidP="00465D14">
      <w:pPr>
        <w:numPr>
          <w:ilvl w:val="0"/>
          <w:numId w:val="2"/>
        </w:numPr>
        <w:jc w:val="both"/>
        <w:rPr>
          <w:b/>
        </w:rPr>
      </w:pPr>
      <w:r w:rsidRPr="00C23896">
        <w:rPr>
          <w:b/>
        </w:rPr>
        <w:t>Proyectos individuales</w:t>
      </w:r>
    </w:p>
    <w:p w:rsidR="00465D14" w:rsidRPr="00D235E5" w:rsidRDefault="00465D14" w:rsidP="00465D14">
      <w:pPr>
        <w:jc w:val="both"/>
      </w:pPr>
    </w:p>
    <w:p w:rsidR="00465D14" w:rsidRDefault="00465D14" w:rsidP="00465D14">
      <w:pPr>
        <w:jc w:val="both"/>
      </w:pPr>
      <w:r>
        <w:t xml:space="preserve">Este grupo comprende investigadores del Conicet, CIC, </w:t>
      </w:r>
      <w:proofErr w:type="spellStart"/>
      <w:r>
        <w:t>Ancyt</w:t>
      </w:r>
      <w:proofErr w:type="spellEnd"/>
      <w:r>
        <w:t xml:space="preserve">, doctorandos y becarios que no participen con la misma investigación de un proyecto inscripto en </w:t>
      </w:r>
      <w:smartTag w:uri="urn:schemas-microsoft-com:office:smarttags" w:element="PersonName">
        <w:smartTagPr>
          <w:attr w:name="ProductID" w:val="la categoría I. Proyectos"/>
        </w:smartTagPr>
        <w:r>
          <w:t>la categoría I. Proyectos</w:t>
        </w:r>
      </w:smartTag>
      <w:r>
        <w:t xml:space="preserve"> colectivos. Se presentarán:</w:t>
      </w:r>
    </w:p>
    <w:p w:rsidR="00465D14" w:rsidRDefault="00465D14" w:rsidP="00465D14">
      <w:pPr>
        <w:numPr>
          <w:ilvl w:val="0"/>
          <w:numId w:val="3"/>
        </w:numPr>
        <w:jc w:val="both"/>
      </w:pPr>
      <w:r>
        <w:t>Fundamentos e hipótesis de la investigación</w:t>
      </w:r>
    </w:p>
    <w:p w:rsidR="00465D14" w:rsidRDefault="00465D14" w:rsidP="00465D14">
      <w:pPr>
        <w:numPr>
          <w:ilvl w:val="0"/>
          <w:numId w:val="3"/>
        </w:numPr>
        <w:jc w:val="both"/>
      </w:pPr>
      <w:r>
        <w:t>Originalidad y aportes</w:t>
      </w:r>
    </w:p>
    <w:p w:rsidR="00465D14" w:rsidRDefault="00465D14" w:rsidP="00465D14">
      <w:pPr>
        <w:numPr>
          <w:ilvl w:val="0"/>
          <w:numId w:val="3"/>
        </w:numPr>
        <w:jc w:val="both"/>
      </w:pPr>
      <w:r>
        <w:t>Resultados alcanzados y proyecciones de la investigación</w:t>
      </w:r>
    </w:p>
    <w:p w:rsidR="00465D14" w:rsidRDefault="00465D14" w:rsidP="00465D14">
      <w:pPr>
        <w:jc w:val="both"/>
      </w:pPr>
      <w:r w:rsidRPr="007D1D3E">
        <w:rPr>
          <w:smallCaps/>
        </w:rPr>
        <w:t>Tiempo de exposición</w:t>
      </w:r>
      <w:r>
        <w:t>: 10 (diez) minutos</w:t>
      </w:r>
    </w:p>
    <w:p w:rsidR="00465D14" w:rsidRDefault="00465D14" w:rsidP="00465D14">
      <w:pPr>
        <w:jc w:val="both"/>
      </w:pPr>
    </w:p>
    <w:p w:rsidR="00465D14" w:rsidRDefault="00465D14" w:rsidP="00465D14">
      <w:pPr>
        <w:jc w:val="both"/>
        <w:rPr>
          <w:b/>
          <w:color w:val="990000"/>
        </w:rPr>
      </w:pPr>
    </w:p>
    <w:p w:rsidR="00465D14" w:rsidRDefault="00465D14" w:rsidP="00465D14">
      <w:pPr>
        <w:jc w:val="both"/>
        <w:rPr>
          <w:b/>
          <w:color w:val="990000"/>
        </w:rPr>
      </w:pPr>
      <w:r w:rsidRPr="00B71F9D">
        <w:rPr>
          <w:b/>
          <w:color w:val="990000"/>
        </w:rPr>
        <w:t xml:space="preserve">PLAZO DE PRESENTACIÓN DE LOS RESÚMENES: </w:t>
      </w:r>
    </w:p>
    <w:p w:rsidR="00465D14" w:rsidRPr="00B71F9D" w:rsidRDefault="00465D14" w:rsidP="00465D14">
      <w:pPr>
        <w:jc w:val="both"/>
        <w:rPr>
          <w:b/>
          <w:color w:val="990000"/>
        </w:rPr>
      </w:pPr>
    </w:p>
    <w:p w:rsidR="00465D14" w:rsidRPr="00B71F9D" w:rsidRDefault="00465D14" w:rsidP="00465D14">
      <w:pPr>
        <w:jc w:val="both"/>
        <w:rPr>
          <w:b/>
          <w:color w:val="990000"/>
          <w:sz w:val="28"/>
          <w:szCs w:val="28"/>
        </w:rPr>
      </w:pPr>
      <w:r w:rsidRPr="00B71F9D">
        <w:rPr>
          <w:b/>
          <w:color w:val="990000"/>
        </w:rPr>
        <w:tab/>
      </w:r>
      <w:r w:rsidR="00A30B01">
        <w:rPr>
          <w:b/>
          <w:color w:val="990000"/>
        </w:rPr>
        <w:t xml:space="preserve"> </w:t>
      </w:r>
      <w:r w:rsidR="00A30B01">
        <w:rPr>
          <w:b/>
          <w:color w:val="990000"/>
          <w:sz w:val="32"/>
          <w:szCs w:val="32"/>
        </w:rPr>
        <w:t xml:space="preserve">1 </w:t>
      </w:r>
      <w:r w:rsidR="00A30B01" w:rsidRPr="00A30B01">
        <w:rPr>
          <w:b/>
          <w:color w:val="990000"/>
          <w:sz w:val="28"/>
          <w:szCs w:val="28"/>
        </w:rPr>
        <w:t>DE ABRIL</w:t>
      </w:r>
      <w:r w:rsidRPr="00B71F9D">
        <w:rPr>
          <w:b/>
          <w:color w:val="990000"/>
          <w:sz w:val="28"/>
          <w:szCs w:val="28"/>
        </w:rPr>
        <w:t xml:space="preserve"> DE 201</w:t>
      </w:r>
      <w:r>
        <w:rPr>
          <w:b/>
          <w:color w:val="990000"/>
          <w:sz w:val="28"/>
          <w:szCs w:val="28"/>
        </w:rPr>
        <w:t xml:space="preserve">9 </w:t>
      </w:r>
    </w:p>
    <w:p w:rsidR="00465D14" w:rsidRDefault="00465D14" w:rsidP="00465D14">
      <w:pPr>
        <w:jc w:val="both"/>
        <w:rPr>
          <w:b/>
        </w:rPr>
      </w:pPr>
    </w:p>
    <w:p w:rsidR="00465D14" w:rsidRDefault="00465D14" w:rsidP="00465D14">
      <w:pPr>
        <w:jc w:val="both"/>
        <w:rPr>
          <w:b/>
        </w:rPr>
      </w:pPr>
      <w:r>
        <w:rPr>
          <w:b/>
        </w:rPr>
        <w:t xml:space="preserve">El resumen de la comunicación debe presentar una descripción breve de los contenidos fundamentales y bibliografía básica (máximo 5 – cinco – títulos) del estudio hasta un máximo de 350 palabras. </w:t>
      </w:r>
    </w:p>
    <w:p w:rsidR="00465D14" w:rsidRDefault="00465D14" w:rsidP="00465D14">
      <w:pPr>
        <w:jc w:val="both"/>
        <w:rPr>
          <w:b/>
        </w:rPr>
      </w:pPr>
    </w:p>
    <w:p w:rsidR="00465D14" w:rsidRDefault="00465D14" w:rsidP="00465D14">
      <w:pPr>
        <w:jc w:val="both"/>
        <w:rPr>
          <w:b/>
        </w:rPr>
      </w:pPr>
    </w:p>
    <w:p w:rsidR="00465D14" w:rsidRDefault="00465D14" w:rsidP="00465D14">
      <w:pPr>
        <w:jc w:val="both"/>
        <w:rPr>
          <w:b/>
        </w:rPr>
      </w:pPr>
      <w:r>
        <w:rPr>
          <w:b/>
          <w:color w:val="990000"/>
          <w:sz w:val="28"/>
          <w:szCs w:val="28"/>
        </w:rPr>
        <w:t>Aranceles</w:t>
      </w:r>
      <w:r w:rsidRPr="00B71F9D">
        <w:rPr>
          <w:b/>
        </w:rPr>
        <w:t xml:space="preserve"> </w:t>
      </w:r>
    </w:p>
    <w:p w:rsidR="00465D14" w:rsidRPr="00B71F9D" w:rsidRDefault="00465D14" w:rsidP="00465D14">
      <w:pPr>
        <w:jc w:val="both"/>
        <w:rPr>
          <w:b/>
        </w:rPr>
      </w:pPr>
    </w:p>
    <w:p w:rsidR="00465D14" w:rsidRDefault="00465D14" w:rsidP="00465D14">
      <w:pPr>
        <w:jc w:val="both"/>
        <w:rPr>
          <w:b/>
        </w:rPr>
      </w:pPr>
      <w:r>
        <w:rPr>
          <w:b/>
        </w:rPr>
        <w:t>Expositores (socios de AADEC y SAH con cuota paga al momento de la reunión)</w:t>
      </w:r>
    </w:p>
    <w:p w:rsidR="00465D14" w:rsidRDefault="00465D14" w:rsidP="00465D14">
      <w:pPr>
        <w:jc w:val="both"/>
        <w:rPr>
          <w:b/>
        </w:rPr>
      </w:pPr>
      <w:r>
        <w:rPr>
          <w:b/>
        </w:rPr>
        <w:tab/>
        <w:t>$ 1.000.- (mil pesos)</w:t>
      </w:r>
    </w:p>
    <w:p w:rsidR="00465D14" w:rsidRDefault="00465D14" w:rsidP="00465D14">
      <w:pPr>
        <w:jc w:val="both"/>
        <w:rPr>
          <w:b/>
        </w:rPr>
      </w:pPr>
      <w:r>
        <w:rPr>
          <w:b/>
        </w:rPr>
        <w:t xml:space="preserve">Expositores no socios </w:t>
      </w:r>
    </w:p>
    <w:p w:rsidR="00465D14" w:rsidRDefault="00465D14" w:rsidP="00465D14">
      <w:pPr>
        <w:jc w:val="both"/>
        <w:rPr>
          <w:b/>
        </w:rPr>
      </w:pPr>
      <w:r>
        <w:rPr>
          <w:b/>
        </w:rPr>
        <w:tab/>
        <w:t>$ 1.200.- (mil doscientos pesos) – U$A 50.- (cincuenta dólares)</w:t>
      </w:r>
    </w:p>
    <w:p w:rsidR="00465D14" w:rsidRDefault="00465D14" w:rsidP="00465D14">
      <w:pPr>
        <w:jc w:val="both"/>
        <w:rPr>
          <w:b/>
        </w:rPr>
      </w:pPr>
      <w:r>
        <w:rPr>
          <w:b/>
        </w:rPr>
        <w:t>Asistentes</w:t>
      </w:r>
    </w:p>
    <w:p w:rsidR="00465D14" w:rsidRDefault="00465D14" w:rsidP="00465D14">
      <w:pPr>
        <w:jc w:val="both"/>
        <w:rPr>
          <w:b/>
        </w:rPr>
      </w:pPr>
      <w:r>
        <w:rPr>
          <w:b/>
        </w:rPr>
        <w:tab/>
        <w:t>$ 500.- (quinientos pesos) – U$A 25.- (veinticinco dólares)</w:t>
      </w:r>
    </w:p>
    <w:p w:rsidR="00465D14" w:rsidRDefault="00465D14" w:rsidP="00465D14">
      <w:pPr>
        <w:jc w:val="both"/>
        <w:rPr>
          <w:b/>
        </w:rPr>
      </w:pPr>
      <w:r>
        <w:rPr>
          <w:b/>
        </w:rPr>
        <w:t>Estudiantes</w:t>
      </w:r>
    </w:p>
    <w:p w:rsidR="00465D14" w:rsidRDefault="00465D14" w:rsidP="00465D14">
      <w:pPr>
        <w:jc w:val="both"/>
        <w:rPr>
          <w:b/>
        </w:rPr>
      </w:pPr>
      <w:r>
        <w:rPr>
          <w:b/>
        </w:rPr>
        <w:tab/>
        <w:t>Sin cargo</w:t>
      </w:r>
    </w:p>
    <w:p w:rsidR="00465D14" w:rsidRDefault="00465D14" w:rsidP="00465D14">
      <w:pPr>
        <w:jc w:val="both"/>
        <w:rPr>
          <w:b/>
        </w:rPr>
      </w:pPr>
    </w:p>
    <w:p w:rsidR="00465D14" w:rsidRDefault="00465D14" w:rsidP="00465D14">
      <w:pPr>
        <w:jc w:val="both"/>
        <w:rPr>
          <w:b/>
        </w:rPr>
      </w:pPr>
      <w:r>
        <w:rPr>
          <w:b/>
        </w:rPr>
        <w:t>Para informes dirigirse a</w:t>
      </w:r>
    </w:p>
    <w:p w:rsidR="00465D14" w:rsidRDefault="00465D14" w:rsidP="00465D14">
      <w:pPr>
        <w:ind w:firstLine="708"/>
        <w:jc w:val="both"/>
        <w:rPr>
          <w:b/>
        </w:rPr>
      </w:pPr>
      <w:r>
        <w:rPr>
          <w:b/>
        </w:rPr>
        <w:t xml:space="preserve">Dra. Guillermina </w:t>
      </w:r>
      <w:proofErr w:type="spellStart"/>
      <w:r>
        <w:rPr>
          <w:b/>
        </w:rPr>
        <w:t>Bogdan</w:t>
      </w:r>
      <w:proofErr w:type="spellEnd"/>
    </w:p>
    <w:p w:rsidR="00465D14" w:rsidRDefault="00C51120" w:rsidP="00465D14">
      <w:pPr>
        <w:ind w:firstLine="708"/>
        <w:jc w:val="both"/>
        <w:rPr>
          <w:b/>
        </w:rPr>
      </w:pPr>
      <w:hyperlink r:id="rId6" w:history="1">
        <w:r w:rsidR="00465D14" w:rsidRPr="00733A76">
          <w:rPr>
            <w:rStyle w:val="Hipervnculo"/>
            <w:b/>
          </w:rPr>
          <w:t>cel@fahce.unlp.edu.ar</w:t>
        </w:r>
      </w:hyperlink>
    </w:p>
    <w:p w:rsidR="00465D14" w:rsidRDefault="00465D14" w:rsidP="00465D14">
      <w:pPr>
        <w:ind w:firstLine="708"/>
        <w:jc w:val="both"/>
        <w:rPr>
          <w:b/>
        </w:rPr>
      </w:pPr>
      <w:proofErr w:type="spellStart"/>
      <w:proofErr w:type="gramStart"/>
      <w:r>
        <w:rPr>
          <w:b/>
        </w:rPr>
        <w:t>centrodeestudioslatinos</w:t>
      </w:r>
      <w:proofErr w:type="gramEnd"/>
      <w:r>
        <w:rPr>
          <w:b/>
        </w:rPr>
        <w:t>@</w:t>
      </w:r>
      <w:proofErr w:type="spellEnd"/>
      <w:r>
        <w:rPr>
          <w:b/>
        </w:rPr>
        <w:t xml:space="preserve"> yahoo.com.ar</w:t>
      </w:r>
    </w:p>
    <w:p w:rsidR="00465D14" w:rsidRDefault="00465D14" w:rsidP="00465D14">
      <w:pPr>
        <w:jc w:val="both"/>
        <w:rPr>
          <w:b/>
        </w:rPr>
      </w:pPr>
    </w:p>
    <w:p w:rsidR="00465D14" w:rsidRPr="00440703" w:rsidRDefault="00465D14" w:rsidP="00465D14">
      <w:pPr>
        <w:jc w:val="both"/>
        <w:rPr>
          <w:lang w:val="es-AR"/>
        </w:rPr>
      </w:pPr>
    </w:p>
    <w:p w:rsidR="00465D14" w:rsidRPr="00043C78" w:rsidRDefault="00465D14" w:rsidP="00465D14"/>
    <w:p w:rsidR="00636595" w:rsidRPr="00636595" w:rsidRDefault="00636595" w:rsidP="00636595">
      <w:pPr>
        <w:jc w:val="center"/>
        <w:rPr>
          <w:b/>
          <w:color w:val="7030A0"/>
          <w:sz w:val="56"/>
          <w:szCs w:val="56"/>
        </w:rPr>
      </w:pPr>
    </w:p>
    <w:sectPr w:rsidR="00636595" w:rsidRPr="00636595" w:rsidSect="00F93923">
      <w:pgSz w:w="12240" w:h="15840"/>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3C5"/>
    <w:multiLevelType w:val="hybridMultilevel"/>
    <w:tmpl w:val="72521E24"/>
    <w:lvl w:ilvl="0" w:tplc="9586A3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E2722D9"/>
    <w:multiLevelType w:val="hybridMultilevel"/>
    <w:tmpl w:val="67EAF85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FD00679"/>
    <w:multiLevelType w:val="hybridMultilevel"/>
    <w:tmpl w:val="9B742FAE"/>
    <w:lvl w:ilvl="0" w:tplc="DE666F74">
      <w:start w:val="1"/>
      <w:numFmt w:val="upperRoman"/>
      <w:lvlText w:val="%1."/>
      <w:lvlJc w:val="left"/>
      <w:pPr>
        <w:tabs>
          <w:tab w:val="num" w:pos="1080"/>
        </w:tabs>
        <w:ind w:left="1080" w:hanging="720"/>
      </w:pPr>
      <w:rPr>
        <w:rFonts w:hint="default"/>
      </w:rPr>
    </w:lvl>
    <w:lvl w:ilvl="1" w:tplc="7AB85B64">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isplayBackgroundShape/>
  <w:proofState w:spelling="clean" w:grammar="clean"/>
  <w:defaultTabStop w:val="708"/>
  <w:hyphenationZone w:val="425"/>
  <w:characterSpacingControl w:val="doNotCompress"/>
  <w:compat/>
  <w:rsids>
    <w:rsidRoot w:val="00F93923"/>
    <w:rsid w:val="0014729D"/>
    <w:rsid w:val="001A40F7"/>
    <w:rsid w:val="00390006"/>
    <w:rsid w:val="004225CA"/>
    <w:rsid w:val="00465D14"/>
    <w:rsid w:val="00586CFA"/>
    <w:rsid w:val="00636595"/>
    <w:rsid w:val="00897429"/>
    <w:rsid w:val="00A30B01"/>
    <w:rsid w:val="00C51120"/>
    <w:rsid w:val="00D70955"/>
    <w:rsid w:val="00F939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ru v:ext="edit" colors="#fdcd99,#fedeb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95"/>
    <w:rPr>
      <w:rFonts w:eastAsia="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5D14"/>
    <w:rPr>
      <w:color w:val="0563C1" w:themeColor="hyperlink"/>
      <w:u w:val="single"/>
    </w:rPr>
  </w:style>
  <w:style w:type="paragraph" w:styleId="Textodeglobo">
    <w:name w:val="Balloon Text"/>
    <w:basedOn w:val="Normal"/>
    <w:link w:val="TextodegloboCar"/>
    <w:uiPriority w:val="99"/>
    <w:semiHidden/>
    <w:unhideWhenUsed/>
    <w:rsid w:val="00A30B01"/>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B01"/>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fahce.unlp.edu.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Paula</cp:lastModifiedBy>
  <cp:revision>2</cp:revision>
  <dcterms:created xsi:type="dcterms:W3CDTF">2018-11-08T19:34:00Z</dcterms:created>
  <dcterms:modified xsi:type="dcterms:W3CDTF">2018-11-08T19:34:00Z</dcterms:modified>
</cp:coreProperties>
</file>